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eastAsia="宋体" w:cs="Times New Roman"/>
          <w:b/>
          <w:color w:val="000000" w:themeColor="text1"/>
          <w:sz w:val="52"/>
          <w:szCs w:val="52"/>
          <w:lang w:val="en-US" w:eastAsia="zh-CN"/>
          <w14:textFill>
            <w14:solidFill>
              <w14:schemeClr w14:val="tx1"/>
            </w14:solidFill>
          </w14:textFill>
        </w:rPr>
      </w:pPr>
      <w:r>
        <w:rPr>
          <w:rFonts w:hint="default" w:ascii="Times New Roman" w:hAnsi="Times New Roman" w:eastAsia="宋体" w:cs="Times New Roman"/>
          <w:b/>
          <w:bCs/>
          <w:sz w:val="24"/>
          <w:szCs w:val="24"/>
        </w:rPr>
        <w:drawing>
          <wp:anchor distT="0" distB="0" distL="114300" distR="114300" simplePos="0" relativeHeight="251658240" behindDoc="0" locked="0" layoutInCell="1" allowOverlap="1">
            <wp:simplePos x="0" y="0"/>
            <wp:positionH relativeFrom="column">
              <wp:posOffset>-81915</wp:posOffset>
            </wp:positionH>
            <wp:positionV relativeFrom="paragraph">
              <wp:posOffset>218440</wp:posOffset>
            </wp:positionV>
            <wp:extent cx="3250565" cy="697865"/>
            <wp:effectExtent l="0" t="0" r="6985" b="6985"/>
            <wp:wrapNone/>
            <wp:docPr id="1"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69"/>
                    <pic:cNvPicPr>
                      <a:picLocks noChangeAspect="1"/>
                    </pic:cNvPicPr>
                  </pic:nvPicPr>
                  <pic:blipFill>
                    <a:blip r:embed="rId8"/>
                    <a:stretch>
                      <a:fillRect/>
                    </a:stretch>
                  </pic:blipFill>
                  <pic:spPr>
                    <a:xfrm>
                      <a:off x="0" y="0"/>
                      <a:ext cx="3250565" cy="697865"/>
                    </a:xfrm>
                    <a:prstGeom prst="rect">
                      <a:avLst/>
                    </a:prstGeom>
                    <a:noFill/>
                    <a:ln>
                      <a:noFill/>
                    </a:ln>
                  </pic:spPr>
                </pic:pic>
              </a:graphicData>
            </a:graphic>
          </wp:anchor>
        </w:drawing>
      </w:r>
      <w:r>
        <w:rPr>
          <w:rFonts w:hint="default" w:ascii="Times New Roman" w:hAnsi="Times New Roman" w:eastAsia="宋体" w:cs="Times New Roman"/>
          <w:b/>
          <w:color w:val="000000" w:themeColor="text1"/>
          <w:sz w:val="52"/>
          <w:szCs w:val="52"/>
          <w:lang w:val="en-US" w:eastAsia="zh-CN"/>
          <w14:textFill>
            <w14:noFill/>
          </w14:textFill>
        </w:rPr>
        <w:t xml:space="preserve">                     </w:t>
      </w:r>
      <w:r>
        <w:rPr>
          <w:rFonts w:hint="default" w:ascii="Times New Roman" w:hAnsi="Times New Roman" w:eastAsia="宋体" w:cs="Times New Roman"/>
          <w:b/>
          <w:color w:val="000000" w:themeColor="text1"/>
          <w:sz w:val="52"/>
          <w:szCs w:val="52"/>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52"/>
          <w:szCs w:val="52"/>
          <w:lang w:val="en-US" w:eastAsia="zh-CN"/>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000000" w:themeColor="text1"/>
          <w:sz w:val="44"/>
          <w:szCs w:val="4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000000" w:themeColor="text1"/>
          <w:sz w:val="44"/>
          <w:szCs w:val="4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b/>
          <w:bCs w:val="0"/>
          <w:color w:val="000000" w:themeColor="text1"/>
          <w:sz w:val="44"/>
          <w:szCs w:val="44"/>
          <w:lang w:val="en-US" w:eastAsia="zh-CN"/>
          <w14:textFill>
            <w14:solidFill>
              <w14:schemeClr w14:val="tx1"/>
            </w14:solidFill>
          </w14:textFill>
        </w:rPr>
      </w:pPr>
    </w:p>
    <w:p>
      <w:pPr>
        <w:pStyle w:val="2"/>
        <w:keepNext w:val="0"/>
        <w:keepLines w:val="0"/>
        <w:pageBreakBefore w:val="0"/>
        <w:widowControl/>
        <w:kinsoku/>
        <w:wordWrap/>
        <w:overflowPunct/>
        <w:topLinePunct w:val="0"/>
        <w:autoSpaceDE/>
        <w:autoSpaceDN/>
        <w:bidi w:val="0"/>
        <w:ind w:firstLine="0" w:firstLineChars="0"/>
        <w:textAlignment w:val="auto"/>
        <w:rPr>
          <w:rFonts w:hint="default"/>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bCs/>
          <w:sz w:val="44"/>
          <w:szCs w:val="44"/>
          <w:lang w:val="en-US" w:eastAsia="zh-CN"/>
        </w:rPr>
      </w:pPr>
      <w:r>
        <w:rPr>
          <w:rFonts w:hint="default" w:ascii="Times New Roman" w:hAnsi="Times New Roman" w:eastAsia="宋体" w:cs="Times New Roman"/>
          <w:b/>
          <w:bCs/>
          <w:sz w:val="44"/>
          <w:szCs w:val="44"/>
          <w:lang w:val="en-US" w:eastAsia="zh-CN"/>
        </w:rPr>
        <w:t>邢台兴安液压机械有限公司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bCs w:val="0"/>
          <w:color w:val="000000" w:themeColor="text1"/>
          <w:sz w:val="44"/>
          <w:szCs w:val="44"/>
          <w:lang w:val="en-US" w:eastAsia="zh-CN"/>
          <w14:textFill>
            <w14:solidFill>
              <w14:schemeClr w14:val="tx1"/>
            </w14:solidFill>
          </w14:textFill>
        </w:rPr>
      </w:pPr>
      <w:r>
        <w:rPr>
          <w:rFonts w:hint="default" w:ascii="Times New Roman" w:hAnsi="Times New Roman" w:eastAsia="宋体" w:cs="Times New Roman"/>
          <w:b/>
          <w:bCs/>
          <w:sz w:val="44"/>
          <w:szCs w:val="44"/>
          <w:lang w:val="en-US" w:eastAsia="zh-CN"/>
        </w:rPr>
        <w:t>2019年土壤环境质量状况自行监测方案</w:t>
      </w:r>
    </w:p>
    <w:p>
      <w:pPr>
        <w:pStyle w:val="2"/>
        <w:keepNext w:val="0"/>
        <w:keepLines w:val="0"/>
        <w:pageBreakBefore w:val="0"/>
        <w:widowControl/>
        <w:kinsoku/>
        <w:wordWrap/>
        <w:overflowPunct/>
        <w:topLinePunct w:val="0"/>
        <w:autoSpaceDE/>
        <w:autoSpaceDN/>
        <w:bidi w:val="0"/>
        <w:spacing w:line="480" w:lineRule="exact"/>
        <w:ind w:left="0" w:leftChars="0"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spacing w:line="480" w:lineRule="exact"/>
        <w:ind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spacing w:line="480" w:lineRule="exact"/>
        <w:ind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spacing w:line="480" w:lineRule="exact"/>
        <w:ind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center"/>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ind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ind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ind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ind w:left="0" w:leftChars="0" w:firstLine="0" w:firstLineChars="0"/>
        <w:textAlignment w:val="auto"/>
        <w:rPr>
          <w:rFonts w:hint="default" w:ascii="Times New Roman" w:hAnsi="Times New Roman" w:eastAsia="宋体" w:cs="Times New Roman"/>
          <w:b/>
          <w:color w:val="000000" w:themeColor="text1"/>
          <w:sz w:val="52"/>
          <w:szCs w:val="52"/>
          <w14:textFill>
            <w14:solidFill>
              <w14:schemeClr w14:val="tx1"/>
            </w14:solidFill>
          </w14:textFill>
        </w:rPr>
      </w:pPr>
    </w:p>
    <w:p>
      <w:pPr>
        <w:pStyle w:val="2"/>
        <w:keepNext w:val="0"/>
        <w:keepLines w:val="0"/>
        <w:pageBreakBefore w:val="0"/>
        <w:widowControl/>
        <w:kinsoku/>
        <w:wordWrap/>
        <w:overflowPunct/>
        <w:topLinePunct w:val="0"/>
        <w:autoSpaceDE/>
        <w:autoSpaceDN/>
        <w:bidi w:val="0"/>
        <w:spacing w:line="480" w:lineRule="exact"/>
        <w:ind w:firstLine="0" w:firstLineChars="0"/>
        <w:textAlignment w:val="auto"/>
        <w:rPr>
          <w:rFonts w:hint="default" w:ascii="Times New Roman" w:hAnsi="Times New Roman" w:eastAsia="宋体" w:cs="Times New Roma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1606" w:firstLineChars="500"/>
        <w:jc w:val="left"/>
        <w:textAlignment w:val="auto"/>
        <w:rPr>
          <w:rFonts w:hint="default" w:ascii="Times New Roman" w:hAnsi="Times New Roman" w:eastAsia="宋体" w:cs="Times New Roman"/>
          <w:b/>
          <w:color w:val="000000" w:themeColor="text1"/>
          <w:sz w:val="32"/>
          <w:szCs w:val="32"/>
          <w:lang w:eastAsia="zh-CN"/>
          <w14:textFill>
            <w14:solidFill>
              <w14:schemeClr w14:val="tx1"/>
            </w14:solidFill>
          </w14:textFill>
        </w:rPr>
      </w:pPr>
      <w:r>
        <w:rPr>
          <w:rFonts w:hint="default" w:ascii="Times New Roman" w:hAnsi="Times New Roman" w:eastAsia="宋体" w:cs="Times New Roman"/>
          <w:b/>
          <w:color w:val="000000" w:themeColor="text1"/>
          <w:sz w:val="32"/>
          <w:szCs w:val="32"/>
          <w:lang w:eastAsia="zh-CN"/>
          <w14:textFill>
            <w14:solidFill>
              <w14:schemeClr w14:val="tx1"/>
            </w14:solidFill>
          </w14:textFill>
        </w:rPr>
        <w:t>委托单位：邢台兴安液压机械有限公司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1606" w:firstLineChars="500"/>
        <w:jc w:val="left"/>
        <w:textAlignment w:val="auto"/>
        <w:rPr>
          <w:rFonts w:hint="default" w:ascii="Times New Roman" w:hAnsi="Times New Roman" w:eastAsia="宋体" w:cs="Times New Roman"/>
          <w:b/>
          <w:color w:val="000000" w:themeColor="text1"/>
          <w:sz w:val="32"/>
          <w:szCs w:val="32"/>
          <w:lang w:eastAsia="zh-CN"/>
          <w14:textFill>
            <w14:solidFill>
              <w14:schemeClr w14:val="tx1"/>
            </w14:solidFill>
          </w14:textFill>
        </w:rPr>
      </w:pPr>
      <w:r>
        <w:rPr>
          <w:rFonts w:hint="default" w:ascii="Times New Roman" w:hAnsi="Times New Roman" w:eastAsia="宋体" w:cs="Times New Roman"/>
          <w:b/>
          <w:color w:val="000000" w:themeColor="text1"/>
          <w:sz w:val="32"/>
          <w:szCs w:val="32"/>
          <w:lang w:eastAsia="zh-CN"/>
          <w14:textFill>
            <w14:solidFill>
              <w14:schemeClr w14:val="tx1"/>
            </w14:solidFill>
          </w14:textFill>
        </w:rPr>
        <w:t>编制单位：河北伟诚环境工程有限公司</w:t>
      </w:r>
    </w:p>
    <w:p>
      <w:pPr>
        <w:keepNext w:val="0"/>
        <w:keepLines w:val="0"/>
        <w:pageBreakBefore w:val="0"/>
        <w:widowControl/>
        <w:kinsoku/>
        <w:wordWrap/>
        <w:overflowPunct/>
        <w:topLinePunct w:val="0"/>
        <w:autoSpaceDE/>
        <w:autoSpaceDN/>
        <w:bidi w:val="0"/>
        <w:spacing w:line="480" w:lineRule="exact"/>
        <w:ind w:left="0" w:leftChars="0" w:firstLine="1606" w:firstLineChars="500"/>
        <w:jc w:val="left"/>
        <w:textAlignment w:val="auto"/>
        <w:rPr>
          <w:rFonts w:hint="default" w:ascii="Times New Roman" w:hAnsi="Times New Roman" w:eastAsia="宋体" w:cs="Times New Roman"/>
          <w:b/>
          <w:color w:val="000000" w:themeColor="text1"/>
          <w:sz w:val="32"/>
          <w:szCs w:val="32"/>
          <w14:textFill>
            <w14:solidFill>
              <w14:schemeClr w14:val="tx1"/>
            </w14:solidFill>
          </w14:textFill>
        </w:rPr>
      </w:pPr>
      <w:r>
        <w:rPr>
          <w:rFonts w:hint="default" w:ascii="Times New Roman" w:hAnsi="Times New Roman" w:eastAsia="宋体" w:cs="Times New Roman"/>
          <w:b/>
          <w:color w:val="000000" w:themeColor="text1"/>
          <w:sz w:val="32"/>
          <w:szCs w:val="32"/>
          <w:lang w:eastAsia="zh-CN"/>
          <w14:textFill>
            <w14:solidFill>
              <w14:schemeClr w14:val="tx1"/>
            </w14:solidFill>
          </w14:textFill>
        </w:rPr>
        <w:t>编制日期：二零一九</w:t>
      </w:r>
      <w:r>
        <w:rPr>
          <w:rFonts w:hint="default" w:ascii="Times New Roman" w:hAnsi="Times New Roman" w:eastAsia="宋体" w:cs="Times New Roman"/>
          <w:b/>
          <w:color w:val="000000" w:themeColor="text1"/>
          <w:sz w:val="32"/>
          <w:szCs w:val="32"/>
          <w14:textFill>
            <w14:solidFill>
              <w14:schemeClr w14:val="tx1"/>
            </w14:solidFill>
          </w14:textFill>
        </w:rPr>
        <w:t>年</w:t>
      </w:r>
      <w:r>
        <w:rPr>
          <w:rFonts w:hint="default" w:ascii="Times New Roman" w:hAnsi="Times New Roman" w:eastAsia="宋体" w:cs="Times New Roman"/>
          <w:b/>
          <w:color w:val="000000" w:themeColor="text1"/>
          <w:sz w:val="32"/>
          <w:szCs w:val="32"/>
          <w:lang w:val="en-US" w:eastAsia="zh-CN"/>
          <w14:textFill>
            <w14:solidFill>
              <w14:schemeClr w14:val="tx1"/>
            </w14:solidFill>
          </w14:textFill>
        </w:rPr>
        <w:t>十一</w:t>
      </w:r>
      <w:r>
        <w:rPr>
          <w:rFonts w:hint="default" w:ascii="Times New Roman" w:hAnsi="Times New Roman" w:eastAsia="宋体" w:cs="Times New Roman"/>
          <w:b/>
          <w:color w:val="000000" w:themeColor="text1"/>
          <w:sz w:val="32"/>
          <w:szCs w:val="32"/>
          <w14:textFill>
            <w14:solidFill>
              <w14:schemeClr w14:val="tx1"/>
            </w14:solidFill>
          </w14:textFill>
        </w:rPr>
        <w:t>月</w:t>
      </w:r>
    </w:p>
    <w:sdt>
      <w:sdtPr>
        <w:rPr>
          <w:rFonts w:hint="default" w:ascii="Times New Roman" w:hAnsi="Times New Roman" w:eastAsia="宋体" w:cs="Times New Roman"/>
          <w:sz w:val="21"/>
          <w:szCs w:val="24"/>
          <w:lang w:val="en-US" w:eastAsia="zh-CN" w:bidi="ar-SA"/>
        </w:rPr>
        <w:id w:val="147470000"/>
        <w15:color w:val="DBDBDB"/>
        <w:docPartObj>
          <w:docPartGallery w:val="Table of Contents"/>
          <w:docPartUnique/>
        </w:docPartObj>
      </w:sdtPr>
      <w:sdtEndPr>
        <w:rPr>
          <w:rFonts w:hint="default" w:ascii="Times New Roman" w:hAnsi="Times New Roman" w:eastAsia="宋体" w:cs="Times New Roman"/>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imes New Roman" w:hAnsi="Times New Roman" w:eastAsia="宋体" w:cs="Times New Roman"/>
              <w:b/>
              <w:bCs/>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drawing>
              <wp:inline distT="0" distB="0" distL="114300" distR="114300">
                <wp:extent cx="5470525" cy="7729855"/>
                <wp:effectExtent l="0" t="0" r="15875" b="4445"/>
                <wp:docPr id="168" name="图片 168" descr="兴安液压专家咨询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兴安液压专家咨询意见"/>
                        <pic:cNvPicPr>
                          <a:picLocks noChangeAspect="1"/>
                        </pic:cNvPicPr>
                      </pic:nvPicPr>
                      <pic:blipFill>
                        <a:blip r:embed="rId9"/>
                        <a:stretch>
                          <a:fillRect/>
                        </a:stretch>
                      </pic:blipFill>
                      <pic:spPr>
                        <a:xfrm>
                          <a:off x="0" y="0"/>
                          <a:ext cx="5470525" cy="7729855"/>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rPr>
          </w:pPr>
        </w:p>
        <w:p>
          <w:pPr>
            <w:spacing w:before="0" w:beforeLines="-2147483648" w:after="0" w:afterLines="-2147483648" w:line="360" w:lineRule="auto"/>
            <w:ind w:left="0" w:leftChars="0" w:right="0" w:rightChars="0" w:firstLine="0" w:firstLineChars="0"/>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修改说明</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eastAsia="zh-CN"/>
            </w:rPr>
          </w:pPr>
          <w:r>
            <w:rPr>
              <w:rFonts w:hint="default" w:ascii="Times New Roman" w:hAnsi="Times New Roman" w:cs="Times New Roman"/>
              <w:b/>
              <w:bCs/>
              <w:lang w:eastAsia="zh-CN"/>
            </w:rPr>
            <w:t>专家意见</w:t>
          </w:r>
          <w:r>
            <w:rPr>
              <w:rFonts w:hint="default" w:ascii="Times New Roman" w:hAnsi="Times New Roman" w:cs="Times New Roman"/>
              <w:b/>
              <w:bCs/>
            </w:rPr>
            <w:t>1</w:t>
          </w:r>
          <w:r>
            <w:rPr>
              <w:rFonts w:hint="default" w:ascii="Times New Roman" w:hAnsi="Times New Roman" w:cs="Times New Roman"/>
              <w:b/>
              <w:bCs/>
              <w:lang w:eastAsia="zh-CN"/>
            </w:rPr>
            <w:t>：</w:t>
          </w:r>
          <w:r>
            <w:rPr>
              <w:rFonts w:hint="default" w:ascii="Times New Roman" w:hAnsi="Times New Roman" w:cs="Times New Roman"/>
              <w:b/>
              <w:bCs/>
            </w:rPr>
            <w:t>完善水文地质、土层结构等相关资料及介绍，建议增加地下水环境调查内容</w:t>
          </w:r>
          <w:r>
            <w:rPr>
              <w:rFonts w:hint="default" w:ascii="Times New Roman" w:hAnsi="Times New Roman" w:cs="Times New Roman"/>
              <w:b/>
              <w:bCs/>
              <w:lang w:eastAsia="zh-CN"/>
            </w:rPr>
            <w:t>。</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val="en-US" w:eastAsia="zh-CN"/>
            </w:rPr>
          </w:pPr>
          <w:r>
            <w:rPr>
              <w:rFonts w:hint="default" w:ascii="Times New Roman" w:hAnsi="Times New Roman" w:cs="Times New Roman"/>
              <w:lang w:eastAsia="zh-CN"/>
            </w:rPr>
            <w:t>修改情况：已按专家意见对本项目场地水文地质及土层结构等情况进行了完善，具体见</w:t>
          </w:r>
          <w:r>
            <w:rPr>
              <w:rFonts w:hint="default" w:ascii="Times New Roman" w:hAnsi="Times New Roman" w:cs="Times New Roman"/>
              <w:lang w:val="en-US" w:eastAsia="zh-CN"/>
            </w:rPr>
            <w:t>2.2.</w:t>
          </w:r>
          <w:r>
            <w:rPr>
              <w:rFonts w:hint="eastAsia" w:cs="Times New Roman"/>
              <w:lang w:val="en-US" w:eastAsia="zh-CN"/>
            </w:rPr>
            <w:t>2</w:t>
          </w:r>
          <w:r>
            <w:rPr>
              <w:rFonts w:hint="default" w:ascii="Times New Roman" w:hAnsi="Times New Roman" w:cs="Times New Roman"/>
              <w:lang w:val="en-US" w:eastAsia="zh-CN"/>
            </w:rPr>
            <w:t>章节；新增加地下水环境调查内容，详见第4章节地下水环境布点。</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b/>
              <w:bCs/>
              <w:lang w:eastAsia="zh-CN"/>
            </w:rPr>
          </w:pPr>
          <w:r>
            <w:rPr>
              <w:rFonts w:hint="default" w:ascii="Times New Roman" w:hAnsi="Times New Roman" w:cs="Times New Roman"/>
              <w:b/>
              <w:bCs/>
              <w:lang w:eastAsia="zh-CN"/>
            </w:rPr>
            <w:t>专家意见</w:t>
          </w:r>
          <w:r>
            <w:rPr>
              <w:rFonts w:hint="default" w:ascii="Times New Roman" w:hAnsi="Times New Roman" w:cs="Times New Roman"/>
              <w:b/>
              <w:bCs/>
            </w:rPr>
            <w:t>2</w:t>
          </w:r>
          <w:r>
            <w:rPr>
              <w:rFonts w:hint="default" w:ascii="Times New Roman" w:hAnsi="Times New Roman" w:cs="Times New Roman"/>
              <w:b/>
              <w:bCs/>
              <w:lang w:eastAsia="zh-CN"/>
            </w:rPr>
            <w:t>：</w:t>
          </w:r>
          <w:r>
            <w:rPr>
              <w:rFonts w:hint="default" w:ascii="Times New Roman" w:hAnsi="Times New Roman" w:cs="Times New Roman"/>
              <w:b/>
              <w:bCs/>
            </w:rPr>
            <w:t>明确电镀槽、含铬废水预处理设施及污水管网等重点污染设施位置，说明其与土壤布点之间的关系和偏移原因</w:t>
          </w:r>
          <w:r>
            <w:rPr>
              <w:rFonts w:hint="default" w:ascii="Times New Roman" w:hAnsi="Times New Roman" w:cs="Times New Roman"/>
              <w:b/>
              <w:bCs/>
              <w:lang w:eastAsia="zh-CN"/>
            </w:rPr>
            <w:t>。</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val="en-US" w:eastAsia="zh-CN"/>
            </w:rPr>
          </w:pPr>
          <w:r>
            <w:rPr>
              <w:rFonts w:hint="default" w:ascii="Times New Roman" w:hAnsi="Times New Roman" w:cs="Times New Roman"/>
              <w:lang w:eastAsia="zh-CN"/>
            </w:rPr>
            <w:t>修改情况：已按专家意见对本项目场地各污染设施位置进行明确，并说明布点依据。详细见第</w:t>
          </w:r>
          <w:r>
            <w:rPr>
              <w:rFonts w:hint="default" w:ascii="Times New Roman" w:hAnsi="Times New Roman" w:cs="Times New Roman"/>
              <w:lang w:val="en-US" w:eastAsia="zh-CN"/>
            </w:rPr>
            <w:t>3章污染识别及第4章布点情况。</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b/>
              <w:bCs/>
            </w:rPr>
          </w:pPr>
          <w:r>
            <w:rPr>
              <w:rFonts w:hint="default" w:ascii="Times New Roman" w:hAnsi="Times New Roman" w:cs="Times New Roman"/>
              <w:b/>
              <w:bCs/>
              <w:lang w:eastAsia="zh-CN"/>
            </w:rPr>
            <w:t>专家意见</w:t>
          </w:r>
          <w:r>
            <w:rPr>
              <w:rFonts w:hint="default" w:ascii="Times New Roman" w:hAnsi="Times New Roman" w:cs="Times New Roman"/>
              <w:b/>
              <w:bCs/>
              <w:lang w:val="en-US" w:eastAsia="zh-CN"/>
            </w:rPr>
            <w:t>3：</w:t>
          </w:r>
          <w:r>
            <w:rPr>
              <w:rFonts w:hint="default" w:ascii="Times New Roman" w:hAnsi="Times New Roman" w:cs="Times New Roman"/>
              <w:b/>
              <w:bCs/>
            </w:rPr>
            <w:t>根据土层结构，优化土壤采样分层。</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eastAsia="zh-CN"/>
            </w:rPr>
          </w:pPr>
          <w:r>
            <w:rPr>
              <w:rFonts w:hint="default" w:ascii="Times New Roman" w:hAnsi="Times New Roman" w:cs="Times New Roman"/>
              <w:lang w:eastAsia="zh-CN"/>
            </w:rPr>
            <w:t>修改情况：本项目土壤样品的采集已按实际钻探情况进行优化分层取样。</w:t>
          </w:r>
        </w:p>
        <w:p>
          <w:pPr>
            <w:spacing w:before="0" w:beforeLines="-2147483648" w:after="0" w:afterLines="-2147483648" w:line="360" w:lineRule="auto"/>
            <w:ind w:left="0" w:leftChars="0" w:right="0" w:rightChars="0" w:firstLine="0" w:firstLineChars="0"/>
            <w:jc w:val="both"/>
            <w:rPr>
              <w:rFonts w:hint="default" w:ascii="Times New Roman" w:hAnsi="Times New Roman" w:eastAsia="宋体" w:cs="Times New Roman"/>
              <w:b/>
              <w:bCs/>
              <w:color w:val="auto"/>
              <w:sz w:val="28"/>
              <w:szCs w:val="28"/>
              <w:lang w:eastAsia="zh-CN"/>
            </w:rPr>
          </w:pPr>
        </w:p>
        <w:p>
          <w:pPr>
            <w:pStyle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br w:type="page"/>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目</w:t>
          </w:r>
          <w:r>
            <w:rPr>
              <w:rFonts w:hint="eastAsia" w:eastAsia="宋体" w:cs="Times New Roman"/>
              <w:b/>
              <w:bCs/>
              <w:sz w:val="28"/>
              <w:szCs w:val="28"/>
              <w:lang w:val="en-US" w:eastAsia="zh-CN"/>
            </w:rPr>
            <w:t xml:space="preserve"> </w:t>
          </w:r>
          <w:r>
            <w:rPr>
              <w:rFonts w:hint="default" w:ascii="Times New Roman" w:hAnsi="Times New Roman" w:eastAsia="宋体" w:cs="Times New Roman"/>
              <w:b/>
              <w:bCs/>
              <w:sz w:val="28"/>
              <w:szCs w:val="28"/>
            </w:rPr>
            <w:t>录</w:t>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TOC \o "1-3" \h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_Toc8298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1 总论</w:t>
          </w:r>
          <w:r>
            <w:tab/>
          </w:r>
          <w:r>
            <w:fldChar w:fldCharType="begin"/>
          </w:r>
          <w:r>
            <w:instrText xml:space="preserve"> PAGEREF _Toc8298 </w:instrText>
          </w:r>
          <w:r>
            <w:fldChar w:fldCharType="separate"/>
          </w:r>
          <w:r>
            <w:t>1</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_Toc28800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1.1 项目概况</w:t>
          </w:r>
          <w:r>
            <w:tab/>
          </w:r>
          <w:r>
            <w:fldChar w:fldCharType="begin"/>
          </w:r>
          <w:r>
            <w:instrText xml:space="preserve"> PAGEREF _Toc28800 </w:instrText>
          </w:r>
          <w:r>
            <w:fldChar w:fldCharType="separate"/>
          </w:r>
          <w:r>
            <w:t>1</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_Toc19776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1.2 编制依据</w:t>
          </w:r>
          <w:r>
            <w:tab/>
          </w:r>
          <w:r>
            <w:fldChar w:fldCharType="begin"/>
          </w:r>
          <w:r>
            <w:instrText xml:space="preserve"> PAGEREF _Toc19776 </w:instrText>
          </w:r>
          <w:r>
            <w:fldChar w:fldCharType="separate"/>
          </w:r>
          <w:r>
            <w:t>2</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_Toc9831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1.2.1 政策法规</w:t>
          </w:r>
          <w:r>
            <w:tab/>
          </w:r>
          <w:r>
            <w:fldChar w:fldCharType="begin"/>
          </w:r>
          <w:r>
            <w:instrText xml:space="preserve"> PAGEREF _Toc9831 </w:instrText>
          </w:r>
          <w:r>
            <w:fldChar w:fldCharType="separate"/>
          </w:r>
          <w:r>
            <w:t>2</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_Toc2411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1.2.2 技术规范</w:t>
          </w:r>
          <w:r>
            <w:tab/>
          </w:r>
          <w:r>
            <w:fldChar w:fldCharType="begin"/>
          </w:r>
          <w:r>
            <w:instrText xml:space="preserve"> PAGEREF _Toc2411 </w:instrText>
          </w:r>
          <w:r>
            <w:fldChar w:fldCharType="separate"/>
          </w:r>
          <w:r>
            <w:t>2</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_Toc7908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1.2.3 执行标准</w:t>
          </w:r>
          <w:r>
            <w:tab/>
          </w:r>
          <w:r>
            <w:fldChar w:fldCharType="begin"/>
          </w:r>
          <w:r>
            <w:instrText xml:space="preserve"> PAGEREF _Toc7908 </w:instrText>
          </w:r>
          <w:r>
            <w:fldChar w:fldCharType="separate"/>
          </w:r>
          <w:r>
            <w:t>2</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_Toc17697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1.3 调查范围及周边环境</w:t>
          </w:r>
          <w:r>
            <w:tab/>
          </w:r>
          <w:r>
            <w:fldChar w:fldCharType="begin"/>
          </w:r>
          <w:r>
            <w:instrText xml:space="preserve"> PAGEREF _Toc17697 </w:instrText>
          </w:r>
          <w:r>
            <w:fldChar w:fldCharType="separate"/>
          </w:r>
          <w:r>
            <w:t>3</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_Toc30691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1.3.1 调查原则</w:t>
          </w:r>
          <w:r>
            <w:tab/>
          </w:r>
          <w:r>
            <w:fldChar w:fldCharType="begin"/>
          </w:r>
          <w:r>
            <w:instrText xml:space="preserve"> PAGEREF _Toc30691 </w:instrText>
          </w:r>
          <w:r>
            <w:fldChar w:fldCharType="separate"/>
          </w:r>
          <w:r>
            <w:t>3</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_Toc8928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1.3.2 调查范围</w:t>
          </w:r>
          <w:r>
            <w:tab/>
          </w:r>
          <w:r>
            <w:fldChar w:fldCharType="begin"/>
          </w:r>
          <w:r>
            <w:instrText xml:space="preserve"> PAGEREF _Toc8928 </w:instrText>
          </w:r>
          <w:r>
            <w:fldChar w:fldCharType="separate"/>
          </w:r>
          <w:r>
            <w:t>3</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_Toc32013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1.3.3 周边环境及周边环境敏感目标</w:t>
          </w:r>
          <w:r>
            <w:tab/>
          </w:r>
          <w:r>
            <w:fldChar w:fldCharType="begin"/>
          </w:r>
          <w:r>
            <w:instrText xml:space="preserve"> PAGEREF _Toc32013 </w:instrText>
          </w:r>
          <w:r>
            <w:fldChar w:fldCharType="separate"/>
          </w:r>
          <w:r>
            <w:t>4</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_Toc11853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1.4 技术路线</w:t>
          </w:r>
          <w:r>
            <w:tab/>
          </w:r>
          <w:r>
            <w:fldChar w:fldCharType="begin"/>
          </w:r>
          <w:r>
            <w:instrText xml:space="preserve"> PAGEREF _Toc11853 </w:instrText>
          </w:r>
          <w:r>
            <w:fldChar w:fldCharType="separate"/>
          </w:r>
          <w:r>
            <w:t>6</w:t>
          </w:r>
          <w:r>
            <w:fldChar w:fldCharType="end"/>
          </w:r>
          <w:r>
            <w:rPr>
              <w:rFonts w:hint="default" w:ascii="Times New Roman" w:hAnsi="Times New Roman" w:eastAsia="宋体" w:cs="Times New Roman"/>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_Toc10147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2 企业</w:t>
          </w:r>
          <w:r>
            <w:rPr>
              <w:rFonts w:hint="eastAsia" w:eastAsia="宋体" w:cs="Times New Roman"/>
              <w:szCs w:val="30"/>
              <w:lang w:val="en-US" w:eastAsia="zh-CN"/>
            </w:rPr>
            <w:t>环境概况</w:t>
          </w:r>
          <w:r>
            <w:tab/>
          </w:r>
          <w:r>
            <w:fldChar w:fldCharType="begin"/>
          </w:r>
          <w:r>
            <w:instrText xml:space="preserve"> PAGEREF _Toc10147 </w:instrText>
          </w:r>
          <w:r>
            <w:fldChar w:fldCharType="separate"/>
          </w:r>
          <w:r>
            <w:t>8</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_Toc28431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2.1 地理位置</w:t>
          </w:r>
          <w:r>
            <w:tab/>
          </w:r>
          <w:r>
            <w:fldChar w:fldCharType="begin"/>
          </w:r>
          <w:r>
            <w:instrText xml:space="preserve"> PAGEREF _Toc28431 </w:instrText>
          </w:r>
          <w:r>
            <w:fldChar w:fldCharType="separate"/>
          </w:r>
          <w:r>
            <w:t>8</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_Toc11897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2.2 区域环境概况</w:t>
          </w:r>
          <w:r>
            <w:tab/>
          </w:r>
          <w:r>
            <w:fldChar w:fldCharType="begin"/>
          </w:r>
          <w:r>
            <w:instrText xml:space="preserve"> PAGEREF _Toc11897 </w:instrText>
          </w:r>
          <w:r>
            <w:fldChar w:fldCharType="separate"/>
          </w:r>
          <w:r>
            <w:t>8</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_Toc24416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2.2.1 地形地貌</w:t>
          </w:r>
          <w:r>
            <w:tab/>
          </w:r>
          <w:r>
            <w:fldChar w:fldCharType="begin"/>
          </w:r>
          <w:r>
            <w:instrText xml:space="preserve"> PAGEREF _Toc24416 </w:instrText>
          </w:r>
          <w:r>
            <w:fldChar w:fldCharType="separate"/>
          </w:r>
          <w:r>
            <w:t>8</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_Toc11947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2.2.2 地层地质</w:t>
          </w:r>
          <w:r>
            <w:tab/>
          </w:r>
          <w:r>
            <w:fldChar w:fldCharType="begin"/>
          </w:r>
          <w:r>
            <w:instrText xml:space="preserve"> PAGEREF _Toc11947 </w:instrText>
          </w:r>
          <w:r>
            <w:fldChar w:fldCharType="separate"/>
          </w:r>
          <w:r>
            <w:t>9</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_Toc19576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2.2.3 水文地质</w:t>
          </w:r>
          <w:r>
            <w:tab/>
          </w:r>
          <w:r>
            <w:fldChar w:fldCharType="begin"/>
          </w:r>
          <w:r>
            <w:instrText xml:space="preserve"> PAGEREF _Toc19576 </w:instrText>
          </w:r>
          <w:r>
            <w:fldChar w:fldCharType="separate"/>
          </w:r>
          <w:r>
            <w:t>10</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_Toc31477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2.2.4 地表水系</w:t>
          </w:r>
          <w:r>
            <w:tab/>
          </w:r>
          <w:r>
            <w:fldChar w:fldCharType="begin"/>
          </w:r>
          <w:r>
            <w:instrText xml:space="preserve"> PAGEREF _Toc31477 </w:instrText>
          </w:r>
          <w:r>
            <w:fldChar w:fldCharType="separate"/>
          </w:r>
          <w:r>
            <w:t>11</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_Toc5885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2.2.5 气候气象</w:t>
          </w:r>
          <w:r>
            <w:tab/>
          </w:r>
          <w:r>
            <w:fldChar w:fldCharType="begin"/>
          </w:r>
          <w:r>
            <w:instrText xml:space="preserve"> PAGEREF _Toc5885 </w:instrText>
          </w:r>
          <w:r>
            <w:fldChar w:fldCharType="separate"/>
          </w:r>
          <w:r>
            <w:t>12</w:t>
          </w:r>
          <w:r>
            <w:fldChar w:fldCharType="end"/>
          </w:r>
          <w:r>
            <w:rPr>
              <w:rFonts w:hint="default" w:ascii="Times New Roman" w:hAnsi="Times New Roman" w:eastAsia="宋体" w:cs="Times New Roman"/>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_Toc20188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3 场地污染识别</w:t>
          </w:r>
          <w:r>
            <w:tab/>
          </w:r>
          <w:r>
            <w:fldChar w:fldCharType="begin"/>
          </w:r>
          <w:r>
            <w:instrText xml:space="preserve"> PAGEREF _Toc20188 </w:instrText>
          </w:r>
          <w:r>
            <w:fldChar w:fldCharType="separate"/>
          </w:r>
          <w:r>
            <w:t>13</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_Toc15372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3.1 现场调查</w:t>
          </w:r>
          <w:r>
            <w:tab/>
          </w:r>
          <w:r>
            <w:fldChar w:fldCharType="begin"/>
          </w:r>
          <w:r>
            <w:instrText xml:space="preserve"> PAGEREF _Toc15372 </w:instrText>
          </w:r>
          <w:r>
            <w:fldChar w:fldCharType="separate"/>
          </w:r>
          <w:r>
            <w:t>13</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_Toc19462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3.1.1 现场调查的工作方法与内容</w:t>
          </w:r>
          <w:r>
            <w:tab/>
          </w:r>
          <w:r>
            <w:fldChar w:fldCharType="begin"/>
          </w:r>
          <w:r>
            <w:instrText xml:space="preserve"> PAGEREF _Toc19462 </w:instrText>
          </w:r>
          <w:r>
            <w:fldChar w:fldCharType="separate"/>
          </w:r>
          <w:r>
            <w:t>13</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_Toc5034 </w:instrText>
          </w:r>
          <w:r>
            <w:rPr>
              <w:rFonts w:hint="default" w:ascii="Times New Roman" w:hAnsi="Times New Roman" w:eastAsia="宋体" w:cs="Times New Roman"/>
            </w:rPr>
            <w:fldChar w:fldCharType="separate"/>
          </w:r>
          <w:r>
            <w:rPr>
              <w:rFonts w:hint="default" w:ascii="Times New Roman" w:hAnsi="Times New Roman" w:cs="Times New Roman"/>
              <w:szCs w:val="28"/>
            </w:rPr>
            <w:t>3.1.2</w:t>
          </w:r>
          <w:r>
            <w:rPr>
              <w:rFonts w:hint="default" w:ascii="Times New Roman" w:hAnsi="Times New Roman" w:cs="Times New Roman"/>
              <w:szCs w:val="28"/>
              <w:lang w:val="en-US" w:eastAsia="zh-CN"/>
            </w:rPr>
            <w:t xml:space="preserve"> </w:t>
          </w:r>
          <w:r>
            <w:rPr>
              <w:rFonts w:hint="default" w:ascii="Times New Roman" w:hAnsi="Times New Roman" w:cs="Times New Roman"/>
              <w:szCs w:val="28"/>
            </w:rPr>
            <w:t>现场调查的工作过程</w:t>
          </w:r>
          <w:r>
            <w:tab/>
          </w:r>
          <w:r>
            <w:fldChar w:fldCharType="begin"/>
          </w:r>
          <w:r>
            <w:instrText xml:space="preserve"> PAGEREF _Toc5034 </w:instrText>
          </w:r>
          <w:r>
            <w:fldChar w:fldCharType="separate"/>
          </w:r>
          <w:r>
            <w:t>13</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_Toc7030 </w:instrText>
          </w:r>
          <w:r>
            <w:rPr>
              <w:rFonts w:hint="default" w:ascii="Times New Roman" w:hAnsi="Times New Roman" w:eastAsia="宋体" w:cs="Times New Roman"/>
            </w:rPr>
            <w:fldChar w:fldCharType="separate"/>
          </w:r>
          <w:r>
            <w:rPr>
              <w:rFonts w:hint="default" w:ascii="Times New Roman" w:hAnsi="Times New Roman" w:cs="Times New Roman"/>
              <w:szCs w:val="28"/>
            </w:rPr>
            <w:t>3.1.</w:t>
          </w:r>
          <w:r>
            <w:rPr>
              <w:rFonts w:hint="default" w:ascii="Times New Roman" w:hAnsi="Times New Roman" w:cs="Times New Roman"/>
              <w:szCs w:val="28"/>
              <w:lang w:val="en-US" w:eastAsia="zh-CN"/>
            </w:rPr>
            <w:t>3</w:t>
          </w:r>
          <w:r>
            <w:rPr>
              <w:rFonts w:hint="default" w:ascii="Times New Roman" w:hAnsi="Times New Roman" w:cs="Times New Roman"/>
              <w:szCs w:val="28"/>
            </w:rPr>
            <w:t xml:space="preserve"> 功能区布局</w:t>
          </w:r>
          <w:r>
            <w:tab/>
          </w:r>
          <w:r>
            <w:fldChar w:fldCharType="begin"/>
          </w:r>
          <w:r>
            <w:instrText xml:space="preserve"> PAGEREF _Toc7030 </w:instrText>
          </w:r>
          <w:r>
            <w:fldChar w:fldCharType="separate"/>
          </w:r>
          <w:r>
            <w:t>15</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_Toc22426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3.2 生产工艺及污染物排放情况</w:t>
          </w:r>
          <w:r>
            <w:tab/>
          </w:r>
          <w:r>
            <w:fldChar w:fldCharType="begin"/>
          </w:r>
          <w:r>
            <w:instrText xml:space="preserve"> PAGEREF _Toc22426 </w:instrText>
          </w:r>
          <w:r>
            <w:fldChar w:fldCharType="separate"/>
          </w:r>
          <w:r>
            <w:t>16</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_Toc6536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3.2.1 原辅材料</w:t>
          </w:r>
          <w:r>
            <w:tab/>
          </w:r>
          <w:r>
            <w:fldChar w:fldCharType="begin"/>
          </w:r>
          <w:r>
            <w:instrText xml:space="preserve"> PAGEREF _Toc6536 </w:instrText>
          </w:r>
          <w:r>
            <w:fldChar w:fldCharType="separate"/>
          </w:r>
          <w:r>
            <w:t>16</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_Toc24033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3.2.2 生产工艺</w:t>
          </w:r>
          <w:r>
            <w:tab/>
          </w:r>
          <w:r>
            <w:fldChar w:fldCharType="begin"/>
          </w:r>
          <w:r>
            <w:instrText xml:space="preserve"> PAGEREF _Toc24033 </w:instrText>
          </w:r>
          <w:r>
            <w:fldChar w:fldCharType="separate"/>
          </w:r>
          <w:r>
            <w:t>18</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_Toc27356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3.2.3 排污节点</w:t>
          </w:r>
          <w:r>
            <w:tab/>
          </w:r>
          <w:r>
            <w:fldChar w:fldCharType="begin"/>
          </w:r>
          <w:r>
            <w:instrText xml:space="preserve"> PAGEREF _Toc27356 </w:instrText>
          </w:r>
          <w:r>
            <w:fldChar w:fldCharType="separate"/>
          </w:r>
          <w:r>
            <w:t>21</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_Toc3210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3.3 污水处理</w:t>
          </w:r>
          <w:r>
            <w:tab/>
          </w:r>
          <w:r>
            <w:fldChar w:fldCharType="begin"/>
          </w:r>
          <w:r>
            <w:instrText xml:space="preserve"> PAGEREF _Toc3210 </w:instrText>
          </w:r>
          <w:r>
            <w:fldChar w:fldCharType="separate"/>
          </w:r>
          <w:r>
            <w:t>22</w:t>
          </w:r>
          <w:r>
            <w:fldChar w:fldCharType="end"/>
          </w:r>
          <w:r>
            <w:rPr>
              <w:rFonts w:hint="default" w:ascii="Times New Roman" w:hAnsi="Times New Roman" w:eastAsia="宋体" w:cs="Times New Roman"/>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_Toc2453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4 布点方案</w:t>
          </w:r>
          <w:r>
            <w:tab/>
          </w:r>
          <w:r>
            <w:fldChar w:fldCharType="begin"/>
          </w:r>
          <w:r>
            <w:instrText xml:space="preserve"> PAGEREF _Toc2453 </w:instrText>
          </w:r>
          <w:r>
            <w:fldChar w:fldCharType="separate"/>
          </w:r>
          <w:r>
            <w:t>25</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_Toc30819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4.1 布点原则</w:t>
          </w:r>
          <w:r>
            <w:tab/>
          </w:r>
          <w:r>
            <w:fldChar w:fldCharType="begin"/>
          </w:r>
          <w:r>
            <w:instrText xml:space="preserve"> PAGEREF _Toc30819 </w:instrText>
          </w:r>
          <w:r>
            <w:fldChar w:fldCharType="separate"/>
          </w:r>
          <w:r>
            <w:t>25</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_Toc5527 </w:instrText>
          </w:r>
          <w:r>
            <w:rPr>
              <w:rFonts w:hint="default" w:ascii="Times New Roman" w:hAnsi="Times New Roman" w:eastAsia="宋体" w:cs="Times New Roman"/>
            </w:rPr>
            <w:fldChar w:fldCharType="separate"/>
          </w:r>
          <w:r>
            <w:rPr>
              <w:rFonts w:hint="default"/>
              <w:lang w:val="en-US" w:eastAsia="zh-CN"/>
            </w:rPr>
            <w:t>4.1.1 监测对象</w:t>
          </w:r>
          <w:r>
            <w:tab/>
          </w:r>
          <w:r>
            <w:fldChar w:fldCharType="begin"/>
          </w:r>
          <w:r>
            <w:instrText xml:space="preserve"> PAGEREF _Toc5527 </w:instrText>
          </w:r>
          <w:r>
            <w:fldChar w:fldCharType="separate"/>
          </w:r>
          <w:r>
            <w:t>25</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_Toc28365 </w:instrText>
          </w:r>
          <w:r>
            <w:rPr>
              <w:rFonts w:hint="default" w:ascii="Times New Roman" w:hAnsi="Times New Roman" w:eastAsia="宋体" w:cs="Times New Roman"/>
            </w:rPr>
            <w:fldChar w:fldCharType="separate"/>
          </w:r>
          <w:r>
            <w:rPr>
              <w:rFonts w:hint="default"/>
              <w:lang w:val="en-US" w:eastAsia="zh-CN"/>
            </w:rPr>
            <w:t>4.1.2 土壤监测位置及数量</w:t>
          </w:r>
          <w:r>
            <w:tab/>
          </w:r>
          <w:r>
            <w:fldChar w:fldCharType="begin"/>
          </w:r>
          <w:r>
            <w:instrText xml:space="preserve"> PAGEREF _Toc28365 </w:instrText>
          </w:r>
          <w:r>
            <w:fldChar w:fldCharType="separate"/>
          </w:r>
          <w:r>
            <w:t>25</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_Toc18344 </w:instrText>
          </w:r>
          <w:r>
            <w:rPr>
              <w:rFonts w:hint="default" w:ascii="Times New Roman" w:hAnsi="Times New Roman" w:eastAsia="宋体" w:cs="Times New Roman"/>
            </w:rPr>
            <w:fldChar w:fldCharType="separate"/>
          </w:r>
          <w:r>
            <w:rPr>
              <w:rFonts w:hint="eastAsia"/>
              <w:lang w:val="en-US" w:eastAsia="zh-CN"/>
            </w:rPr>
            <w:t>4.1.3 地下水监测</w:t>
          </w:r>
          <w:r>
            <w:tab/>
          </w:r>
          <w:r>
            <w:fldChar w:fldCharType="begin"/>
          </w:r>
          <w:r>
            <w:instrText xml:space="preserve"> PAGEREF _Toc18344 </w:instrText>
          </w:r>
          <w:r>
            <w:fldChar w:fldCharType="separate"/>
          </w:r>
          <w:r>
            <w:t>25</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_Toc27344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4.2 布点方案及检测因子</w:t>
          </w:r>
          <w:r>
            <w:tab/>
          </w:r>
          <w:r>
            <w:fldChar w:fldCharType="begin"/>
          </w:r>
          <w:r>
            <w:instrText xml:space="preserve"> PAGEREF _Toc27344 </w:instrText>
          </w:r>
          <w:r>
            <w:fldChar w:fldCharType="separate"/>
          </w:r>
          <w:r>
            <w:t>26</w:t>
          </w:r>
          <w:r>
            <w:fldChar w:fldCharType="end"/>
          </w:r>
          <w:r>
            <w:rPr>
              <w:rFonts w:hint="default" w:ascii="Times New Roman" w:hAnsi="Times New Roman" w:eastAsia="宋体" w:cs="Times New Roman"/>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_Toc9886 </w:instrText>
          </w:r>
          <w:r>
            <w:rPr>
              <w:rFonts w:hint="default" w:ascii="Times New Roman" w:hAnsi="Times New Roman" w:eastAsia="宋体" w:cs="Times New Roman"/>
            </w:rPr>
            <w:fldChar w:fldCharType="separate"/>
          </w:r>
          <w:r>
            <w:rPr>
              <w:rFonts w:hint="default"/>
              <w:szCs w:val="22"/>
              <w:lang w:val="en-US" w:eastAsia="zh-CN"/>
            </w:rPr>
            <w:t>5 样品采集与保存</w:t>
          </w:r>
          <w:r>
            <w:tab/>
          </w:r>
          <w:r>
            <w:fldChar w:fldCharType="begin"/>
          </w:r>
          <w:r>
            <w:instrText xml:space="preserve"> PAGEREF _Toc9886 </w:instrText>
          </w:r>
          <w:r>
            <w:fldChar w:fldCharType="separate"/>
          </w:r>
          <w:r>
            <w:t>29</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_Toc14356 </w:instrText>
          </w:r>
          <w:r>
            <w:rPr>
              <w:rFonts w:hint="default" w:ascii="Times New Roman" w:hAnsi="Times New Roman" w:eastAsia="宋体" w:cs="Times New Roman"/>
            </w:rPr>
            <w:fldChar w:fldCharType="separate"/>
          </w:r>
          <w:r>
            <w:rPr>
              <w:rFonts w:hint="eastAsia" w:ascii="Times New Roman" w:hAnsi="Times New Roman" w:eastAsia="宋体" w:cs="Times New Roman"/>
              <w:lang w:val="en-US" w:eastAsia="zh-CN"/>
            </w:rPr>
            <w:t>5.1 土壤样品采集与保存</w:t>
          </w:r>
          <w:r>
            <w:tab/>
          </w:r>
          <w:r>
            <w:fldChar w:fldCharType="begin"/>
          </w:r>
          <w:r>
            <w:instrText xml:space="preserve"> PAGEREF _Toc14356 </w:instrText>
          </w:r>
          <w:r>
            <w:fldChar w:fldCharType="separate"/>
          </w:r>
          <w:r>
            <w:t>29</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_Toc22274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5.1</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 xml:space="preserve"> 钻孔</w:t>
          </w:r>
          <w:r>
            <w:tab/>
          </w:r>
          <w:r>
            <w:fldChar w:fldCharType="begin"/>
          </w:r>
          <w:r>
            <w:instrText xml:space="preserve"> PAGEREF _Toc22274 </w:instrText>
          </w:r>
          <w:r>
            <w:fldChar w:fldCharType="separate"/>
          </w:r>
          <w:r>
            <w:t>29</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_Toc23157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2 采样</w:t>
          </w:r>
          <w:r>
            <w:tab/>
          </w:r>
          <w:r>
            <w:fldChar w:fldCharType="begin"/>
          </w:r>
          <w:r>
            <w:instrText xml:space="preserve"> PAGEREF _Toc23157 </w:instrText>
          </w:r>
          <w:r>
            <w:fldChar w:fldCharType="separate"/>
          </w:r>
          <w:r>
            <w:t>29</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_Toc24788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3 保存</w:t>
          </w:r>
          <w:r>
            <w:tab/>
          </w:r>
          <w:r>
            <w:fldChar w:fldCharType="begin"/>
          </w:r>
          <w:r>
            <w:instrText xml:space="preserve"> PAGEREF _Toc24788 </w:instrText>
          </w:r>
          <w:r>
            <w:fldChar w:fldCharType="separate"/>
          </w:r>
          <w:r>
            <w:t>30</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_Toc18240 </w:instrText>
          </w:r>
          <w:r>
            <w:rPr>
              <w:rFonts w:hint="default"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5.2 </w:t>
          </w:r>
          <w:r>
            <w:rPr>
              <w:rFonts w:hint="default" w:ascii="Times New Roman" w:hAnsi="Times New Roman" w:eastAsia="宋体" w:cs="Times New Roman"/>
              <w:lang w:val="en-US" w:eastAsia="zh-CN"/>
            </w:rPr>
            <w:t>地下水样品采集</w:t>
          </w:r>
          <w:r>
            <w:tab/>
          </w:r>
          <w:r>
            <w:fldChar w:fldCharType="begin"/>
          </w:r>
          <w:r>
            <w:instrText xml:space="preserve"> PAGEREF _Toc18240 </w:instrText>
          </w:r>
          <w:r>
            <w:fldChar w:fldCharType="separate"/>
          </w:r>
          <w:r>
            <w:t>31</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_Toc25677 </w:instrText>
          </w:r>
          <w:r>
            <w:rPr>
              <w:rFonts w:hint="default" w:ascii="Times New Roman" w:hAnsi="Times New Roman" w:eastAsia="宋体" w:cs="Times New Roman"/>
            </w:rPr>
            <w:fldChar w:fldCharType="separate"/>
          </w:r>
          <w:r>
            <w:rPr>
              <w:rFonts w:hint="eastAsia" w:ascii="Times New Roman" w:hAnsi="Times New Roman" w:eastAsia="宋体" w:cs="Times New Roman"/>
              <w:lang w:val="en-US" w:eastAsia="zh-CN"/>
            </w:rPr>
            <w:t>5.2.1</w:t>
          </w:r>
          <w:r>
            <w:rPr>
              <w:rFonts w:hint="default" w:ascii="Times New Roman" w:hAnsi="Times New Roman" w:eastAsia="宋体" w:cs="Times New Roman"/>
              <w:lang w:val="en-US" w:eastAsia="zh-CN"/>
            </w:rPr>
            <w:t>浅层水井的建立与洗井</w:t>
          </w:r>
          <w:r>
            <w:tab/>
          </w:r>
          <w:r>
            <w:fldChar w:fldCharType="begin"/>
          </w:r>
          <w:r>
            <w:instrText xml:space="preserve"> PAGEREF _Toc25677 </w:instrText>
          </w:r>
          <w:r>
            <w:fldChar w:fldCharType="separate"/>
          </w:r>
          <w:r>
            <w:t>31</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_Toc9573 </w:instrText>
          </w:r>
          <w:r>
            <w:rPr>
              <w:rFonts w:hint="default" w:ascii="Times New Roman" w:hAnsi="Times New Roman" w:eastAsia="宋体" w:cs="Times New Roman"/>
            </w:rPr>
            <w:fldChar w:fldCharType="separate"/>
          </w:r>
          <w:r>
            <w:rPr>
              <w:rFonts w:hint="eastAsia" w:ascii="Times New Roman" w:hAnsi="Times New Roman" w:eastAsia="宋体" w:cs="Times New Roman"/>
              <w:lang w:val="en-US" w:eastAsia="zh-CN"/>
            </w:rPr>
            <w:t>5.2.2</w:t>
          </w:r>
          <w:r>
            <w:rPr>
              <w:rFonts w:hint="default" w:ascii="Times New Roman" w:hAnsi="Times New Roman" w:eastAsia="宋体" w:cs="Times New Roman"/>
              <w:lang w:val="en-US" w:eastAsia="zh-CN"/>
            </w:rPr>
            <w:t>采样</w:t>
          </w:r>
          <w:r>
            <w:tab/>
          </w:r>
          <w:r>
            <w:fldChar w:fldCharType="begin"/>
          </w:r>
          <w:r>
            <w:instrText xml:space="preserve"> PAGEREF _Toc9573 </w:instrText>
          </w:r>
          <w:r>
            <w:fldChar w:fldCharType="separate"/>
          </w:r>
          <w:r>
            <w:t>32</w:t>
          </w:r>
          <w:r>
            <w:fldChar w:fldCharType="end"/>
          </w:r>
          <w:r>
            <w:rPr>
              <w:rFonts w:hint="default" w:ascii="Times New Roman" w:hAnsi="Times New Roman" w:eastAsia="宋体" w:cs="Times New Roman"/>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_Toc15827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6 质量保证和质量控制</w:t>
          </w:r>
          <w:r>
            <w:tab/>
          </w:r>
          <w:r>
            <w:fldChar w:fldCharType="begin"/>
          </w:r>
          <w:r>
            <w:instrText xml:space="preserve"> PAGEREF _Toc15827 </w:instrText>
          </w:r>
          <w:r>
            <w:fldChar w:fldCharType="separate"/>
          </w:r>
          <w:r>
            <w:t>33</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_Toc13338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6.1 监测方法及仪器</w:t>
          </w:r>
          <w:r>
            <w:tab/>
          </w:r>
          <w:r>
            <w:fldChar w:fldCharType="begin"/>
          </w:r>
          <w:r>
            <w:instrText xml:space="preserve"> PAGEREF _Toc13338 </w:instrText>
          </w:r>
          <w:r>
            <w:fldChar w:fldCharType="separate"/>
          </w:r>
          <w:r>
            <w:t>33</w:t>
          </w:r>
          <w:r>
            <w:fldChar w:fldCharType="end"/>
          </w:r>
          <w:r>
            <w:rPr>
              <w:rFonts w:hint="default" w:ascii="Times New Roman" w:hAnsi="Times New Roman" w:eastAsia="宋体" w:cs="Times New Roma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_Toc23168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6.2 质量控制与质量管理（QA/QC）</w:t>
          </w:r>
          <w:r>
            <w:tab/>
          </w:r>
          <w:r>
            <w:fldChar w:fldCharType="begin"/>
          </w:r>
          <w:r>
            <w:instrText xml:space="preserve"> PAGEREF _Toc23168 </w:instrText>
          </w:r>
          <w:r>
            <w:fldChar w:fldCharType="separate"/>
          </w:r>
          <w:r>
            <w:t>34</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_Toc13259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6.2.1 采样现场质量控制</w:t>
          </w:r>
          <w:r>
            <w:tab/>
          </w:r>
          <w:r>
            <w:fldChar w:fldCharType="begin"/>
          </w:r>
          <w:r>
            <w:instrText xml:space="preserve"> PAGEREF _Toc13259 </w:instrText>
          </w:r>
          <w:r>
            <w:fldChar w:fldCharType="separate"/>
          </w:r>
          <w:r>
            <w:t>34</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_Toc18920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6.2.2 样品流转质量控制</w:t>
          </w:r>
          <w:r>
            <w:tab/>
          </w:r>
          <w:r>
            <w:fldChar w:fldCharType="begin"/>
          </w:r>
          <w:r>
            <w:instrText xml:space="preserve"> PAGEREF _Toc18920 </w:instrText>
          </w:r>
          <w:r>
            <w:fldChar w:fldCharType="separate"/>
          </w:r>
          <w:r>
            <w:t>35</w:t>
          </w:r>
          <w:r>
            <w:fldChar w:fldCharType="end"/>
          </w:r>
          <w:r>
            <w:rPr>
              <w:rFonts w:hint="default" w:ascii="Times New Roman" w:hAnsi="Times New Roman" w:eastAsia="宋体" w:cs="Times New Roma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_Toc19269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6.2.3 实验室分析质量控制</w:t>
          </w:r>
          <w:r>
            <w:tab/>
          </w:r>
          <w:r>
            <w:fldChar w:fldCharType="begin"/>
          </w:r>
          <w:r>
            <w:instrText xml:space="preserve"> PAGEREF _Toc19269 </w:instrText>
          </w:r>
          <w:r>
            <w:fldChar w:fldCharType="separate"/>
          </w:r>
          <w:r>
            <w:t>35</w:t>
          </w:r>
          <w:r>
            <w:fldChar w:fldCharType="end"/>
          </w:r>
          <w:r>
            <w:rPr>
              <w:rFonts w:hint="default" w:ascii="Times New Roman" w:hAnsi="Times New Roman" w:eastAsia="宋体" w:cs="Times New Roman"/>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_Toc16130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szCs w:val="30"/>
              <w:lang w:val="en-US" w:eastAsia="zh-CN"/>
            </w:rPr>
            <w:t xml:space="preserve"> 工期安排及结果评价</w:t>
          </w:r>
          <w:r>
            <w:tab/>
          </w:r>
          <w:r>
            <w:fldChar w:fldCharType="begin"/>
          </w:r>
          <w:r>
            <w:instrText xml:space="preserve"> PAGEREF _Toc16130 </w:instrText>
          </w:r>
          <w:r>
            <w:fldChar w:fldCharType="separate"/>
          </w:r>
          <w:r>
            <w:t>36</w:t>
          </w:r>
          <w:r>
            <w:fldChar w:fldCharType="end"/>
          </w:r>
          <w:r>
            <w:rPr>
              <w:rFonts w:hint="default" w:ascii="Times New Roman" w:hAnsi="Times New Roman" w:eastAsia="宋体" w:cs="Times New Roman"/>
            </w:rPr>
            <w:fldChar w:fldCharType="end"/>
          </w:r>
        </w:p>
        <w:p>
          <w:pPr>
            <w:pStyle w:val="2"/>
            <w:ind w:left="0" w:leftChars="0" w:firstLine="0" w:firstLineChars="0"/>
            <w:rPr>
              <w:rFonts w:hint="default" w:ascii="Times New Roman" w:hAnsi="Times New Roman" w:eastAsia="宋体" w:cs="Times New Roman"/>
            </w:rPr>
          </w:pPr>
          <w:r>
            <w:rPr>
              <w:rFonts w:hint="default" w:ascii="Times New Roman" w:hAnsi="Times New Roman" w:eastAsia="宋体" w:cs="Times New Roman"/>
            </w:rPr>
            <w:fldChar w:fldCharType="end"/>
          </w:r>
        </w:p>
      </w:sdtContent>
    </w:sdt>
    <w:p>
      <w:pPr>
        <w:pStyle w:val="4"/>
        <w:pageBreakBefore w:val="0"/>
        <w:kinsoku/>
        <w:wordWrap/>
        <w:overflowPunct/>
        <w:topLinePunct w:val="0"/>
        <w:autoSpaceDE/>
        <w:autoSpaceDN/>
        <w:bidi w:val="0"/>
        <w:spacing w:line="480" w:lineRule="exact"/>
        <w:textAlignment w:val="auto"/>
        <w:rPr>
          <w:rFonts w:hint="default" w:ascii="Times New Roman" w:hAnsi="Times New Roman" w:eastAsia="宋体" w:cs="Times New Roman"/>
          <w:lang w:val="en-US" w:eastAsia="zh-CN"/>
        </w:rPr>
        <w:sectPr>
          <w:pgSz w:w="11906" w:h="16838"/>
          <w:pgMar w:top="1440" w:right="1800" w:bottom="1440" w:left="1800" w:header="851" w:footer="992" w:gutter="0"/>
          <w:cols w:space="425" w:num="1"/>
          <w:docGrid w:type="lines" w:linePitch="312" w:charSpace="0"/>
        </w:sectPr>
      </w:pPr>
    </w:p>
    <w:p>
      <w:pPr>
        <w:pStyle w:val="4"/>
        <w:bidi w:val="0"/>
        <w:ind w:left="0" w:leftChars="0" w:firstLine="0" w:firstLineChars="0"/>
        <w:rPr>
          <w:rFonts w:hint="default" w:ascii="Times New Roman" w:hAnsi="Times New Roman" w:eastAsia="宋体" w:cs="Times New Roman"/>
          <w:sz w:val="30"/>
          <w:szCs w:val="30"/>
          <w:lang w:val="en-US" w:eastAsia="zh-CN"/>
        </w:rPr>
      </w:pPr>
      <w:bookmarkStart w:id="0" w:name="_Toc8298"/>
      <w:r>
        <w:rPr>
          <w:rFonts w:hint="default" w:ascii="Times New Roman" w:hAnsi="Times New Roman" w:eastAsia="宋体" w:cs="Times New Roman"/>
          <w:sz w:val="30"/>
          <w:szCs w:val="30"/>
          <w:lang w:val="en-US" w:eastAsia="zh-CN"/>
        </w:rPr>
        <w:t>1 总论</w:t>
      </w:r>
      <w:bookmarkEnd w:id="0"/>
    </w:p>
    <w:p>
      <w:pPr>
        <w:pStyle w:val="5"/>
        <w:bidi w:val="0"/>
        <w:ind w:left="0" w:leftChars="0" w:firstLine="0" w:firstLineChars="0"/>
        <w:rPr>
          <w:rFonts w:hint="default" w:ascii="Times New Roman" w:hAnsi="Times New Roman" w:eastAsia="宋体" w:cs="Times New Roman"/>
          <w:sz w:val="28"/>
          <w:szCs w:val="28"/>
          <w:lang w:val="en-US" w:eastAsia="zh-CN"/>
        </w:rPr>
      </w:pPr>
      <w:bookmarkStart w:id="1" w:name="_Toc28800"/>
      <w:r>
        <w:rPr>
          <w:rFonts w:hint="default" w:ascii="Times New Roman" w:hAnsi="Times New Roman" w:eastAsia="宋体" w:cs="Times New Roman"/>
          <w:sz w:val="28"/>
          <w:szCs w:val="28"/>
          <w:lang w:val="en-US" w:eastAsia="zh-CN"/>
        </w:rPr>
        <w:t>1.1 项目概况</w:t>
      </w:r>
      <w:bookmarkEnd w:id="1"/>
    </w:p>
    <w:p>
      <w:pPr>
        <w:pStyle w:val="2"/>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14:textFill>
            <w14:noFill/>
          </w14:textFill>
        </w:rPr>
      </w:pPr>
      <w:r>
        <w:rPr>
          <w:rFonts w:hint="default" w:ascii="Times New Roman" w:hAnsi="Times New Roman" w:eastAsia="宋体" w:cs="Times New Roman"/>
          <w:sz w:val="24"/>
          <w:szCs w:val="24"/>
          <w:lang w:eastAsia="zh-CN"/>
        </w:rPr>
        <w:t>邢台兴安液压机械有限公司位于邢台市</w:t>
      </w:r>
      <w:r>
        <w:rPr>
          <w:rFonts w:hint="default" w:ascii="Times New Roman" w:hAnsi="Times New Roman" w:eastAsia="宋体" w:cs="Times New Roman"/>
          <w:sz w:val="24"/>
          <w:szCs w:val="24"/>
          <w:lang w:val="en-US" w:eastAsia="zh-CN"/>
        </w:rPr>
        <w:t>任县工业区永康大街西头路北</w:t>
      </w:r>
      <w:r>
        <w:rPr>
          <w:rFonts w:hint="default" w:ascii="Times New Roman" w:hAnsi="Times New Roman" w:eastAsia="宋体" w:cs="Times New Roman"/>
          <w:sz w:val="24"/>
          <w:szCs w:val="24"/>
          <w:lang w:eastAsia="zh-CN"/>
        </w:rPr>
        <w:t>，东环路西侧。场地中心坐标为</w:t>
      </w:r>
      <w:r>
        <w:rPr>
          <w:rFonts w:hint="default" w:ascii="Times New Roman" w:hAnsi="Times New Roman" w:eastAsia="宋体" w:cs="Times New Roman"/>
          <w:sz w:val="24"/>
          <w:szCs w:val="24"/>
          <w:lang w:val="en-US" w:eastAsia="zh-CN"/>
        </w:rPr>
        <w:t>E 114°39′18.12″，N 37°8′41.32″。</w:t>
      </w:r>
      <w:r>
        <w:rPr>
          <w:rFonts w:hint="default" w:ascii="Times New Roman" w:hAnsi="Times New Roman" w:eastAsia="宋体" w:cs="Times New Roman"/>
          <w:sz w:val="24"/>
          <w:szCs w:val="24"/>
          <w:lang w:eastAsia="zh-CN"/>
        </w:rPr>
        <w:t>项目占地面积</w:t>
      </w:r>
      <w:r>
        <w:rPr>
          <w:rFonts w:hint="default" w:ascii="Times New Roman" w:hAnsi="Times New Roman" w:eastAsia="宋体" w:cs="Times New Roman"/>
          <w:sz w:val="24"/>
          <w:szCs w:val="24"/>
          <w:lang w:val="en-US" w:eastAsia="zh-CN"/>
        </w:rPr>
        <w:t>33333.4</w:t>
      </w:r>
      <w:r>
        <w:rPr>
          <w:rFonts w:hint="default" w:ascii="Times New Roman" w:hAnsi="Times New Roman" w:eastAsia="宋体" w:cs="Times New Roman"/>
          <w:sz w:val="24"/>
          <w:szCs w:val="24"/>
          <w:lang w:eastAsia="zh-CN"/>
        </w:rPr>
        <w:t>m</w:t>
      </w:r>
      <w:r>
        <w:rPr>
          <w:rFonts w:hint="default" w:ascii="Times New Roman" w:hAnsi="Times New Roman" w:eastAsia="宋体" w:cs="Times New Roman"/>
          <w:sz w:val="24"/>
          <w:szCs w:val="24"/>
          <w:vertAlign w:val="superscript"/>
          <w:lang w:eastAsia="zh-CN"/>
        </w:rPr>
        <w:t>2</w:t>
      </w:r>
      <w:r>
        <w:rPr>
          <w:rFonts w:hint="default" w:ascii="Times New Roman" w:hAnsi="Times New Roman" w:eastAsia="宋体" w:cs="Times New Roman"/>
          <w:sz w:val="24"/>
          <w:szCs w:val="24"/>
          <w:lang w:eastAsia="zh-CN"/>
        </w:rPr>
        <w:t>（合</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0亩）</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邢台兴安液压机械有限公司是专业从事矿用综采工作面液压支架立柱、千斤顶修复及配件加工的企业。公司始建于</w:t>
      </w:r>
      <w:r>
        <w:rPr>
          <w:rFonts w:hint="default" w:ascii="Times New Roman" w:hAnsi="Times New Roman" w:eastAsia="宋体" w:cs="Times New Roman"/>
          <w:sz w:val="24"/>
          <w:szCs w:val="24"/>
          <w:lang w:val="en-US" w:eastAsia="zh-CN"/>
        </w:rPr>
        <w:t>1987年，原名任县液压支柱厂，于2007年10月更名为</w:t>
      </w:r>
      <w:r>
        <w:rPr>
          <w:rFonts w:hint="default" w:ascii="Times New Roman" w:hAnsi="Times New Roman" w:eastAsia="宋体" w:cs="Times New Roman"/>
          <w:sz w:val="24"/>
          <w:szCs w:val="24"/>
          <w:lang w:eastAsia="zh-CN"/>
        </w:rPr>
        <w:t>邢台兴安液压机械有限公司。</w:t>
      </w:r>
      <w:r>
        <w:rPr>
          <w:rFonts w:hint="default" w:ascii="Times New Roman" w:hAnsi="Times New Roman" w:eastAsia="宋体" w:cs="Times New Roman"/>
          <w:sz w:val="24"/>
          <w:szCs w:val="24"/>
          <w:lang w:val="en-US" w:eastAsia="zh-CN"/>
        </w:rPr>
        <w:t>厂区东侧是邢台市农药厂，北侧是任县金丰工贸有限公司，南侧为永康街，隔路为河北刑工机械制造有限公司，西侧为顺德路，隔路为邢台顺达铁路配件有限公司。</w:t>
      </w:r>
      <w:r>
        <w:rPr>
          <w:rFonts w:hint="default" w:ascii="Times New Roman" w:hAnsi="Times New Roman" w:eastAsia="宋体" w:cs="Times New Roman"/>
          <w:lang w:val="en-US" w:eastAsia="zh-CN"/>
        </w:rPr>
        <w:t>该项目在运营期内，未出现过环境污染事故。</w:t>
      </w:r>
    </w:p>
    <w:p>
      <w:pPr>
        <w:keepNext w:val="0"/>
        <w:keepLines w:val="0"/>
        <w:pageBreakBefore w:val="0"/>
        <w:widowControl/>
        <w:tabs>
          <w:tab w:val="left" w:pos="2500"/>
        </w:tabs>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根据《国务院关于印发土壤污染防治行动计划的通知》（国发〔2016〕31号）、《关于印发&lt;2018年河北省土壤污染防治工作要点&gt;的通知》（冀土领办[2018]6 号）、《2019年河北省土壤污染防治工作要点》、《邢台市净土保卫战行动计划》以及2017年7月21日发布的《河北省土壤环境重点监管企业名单》（冀环办字函[2017]402号）等相关文件要求：“自2017年起，列入名单的企业，要自行或委托有资质的环境监测机构，对其企业用地每年开展至少1次土壤环境监测，编制土壤环境质量状况报告，监测数据和报告向当地环保部门备案并向社会公开。”邢台兴安液压机械有限公司属于河北省土壤环境重点监管企业，需要按照国家相关技术规范相关要求开展上述工作。</w:t>
      </w:r>
    </w:p>
    <w:p>
      <w:pPr>
        <w:keepNext w:val="0"/>
        <w:keepLines w:val="0"/>
        <w:pageBreakBefore w:val="0"/>
        <w:widowControl/>
        <w:tabs>
          <w:tab w:val="left" w:pos="2500"/>
        </w:tabs>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由于邢台兴安液压机械有限公司无相关土壤及地下水监测能力，故委托我公司河北伟诚环境工程有限公司开展本企业用地的土壤环境质量状况调查与监测工作。我公司组织技术人员于2019年11月12日进行了现场踏勘，并根据现场踏勘以及该项目环境影响评价文件编制完成了《邢台兴安液压机械有限公司  2019年土壤环境质量状况自行监测方案》（简称“监测方案”）。</w:t>
      </w:r>
      <w:r>
        <w:rPr>
          <w:rFonts w:hint="default" w:ascii="Times New Roman" w:hAnsi="Times New Roman" w:eastAsia="宋体" w:cs="Times New Roman"/>
          <w:sz w:val="24"/>
          <w:szCs w:val="24"/>
          <w:lang w:val="en-US" w:eastAsia="zh-CN" w:bidi="ar-SA"/>
        </w:rPr>
        <w:br w:type="page"/>
      </w:r>
    </w:p>
    <w:p>
      <w:pPr>
        <w:pStyle w:val="5"/>
        <w:bidi w:val="0"/>
        <w:ind w:left="0" w:leftChars="0" w:firstLine="0" w:firstLineChars="0"/>
        <w:rPr>
          <w:rFonts w:hint="default" w:ascii="Times New Roman" w:hAnsi="Times New Roman" w:eastAsia="宋体" w:cs="Times New Roman"/>
          <w:sz w:val="28"/>
          <w:szCs w:val="28"/>
          <w:lang w:val="en-US" w:eastAsia="zh-CN"/>
        </w:rPr>
      </w:pPr>
      <w:bookmarkStart w:id="2" w:name="_Toc19776"/>
      <w:r>
        <w:rPr>
          <w:rFonts w:hint="default" w:ascii="Times New Roman" w:hAnsi="Times New Roman" w:eastAsia="宋体" w:cs="Times New Roman"/>
          <w:sz w:val="28"/>
          <w:szCs w:val="28"/>
          <w:lang w:val="en-US" w:eastAsia="zh-CN"/>
        </w:rPr>
        <w:t>1.2 编制依据</w:t>
      </w:r>
      <w:bookmarkEnd w:id="2"/>
    </w:p>
    <w:p>
      <w:pPr>
        <w:pStyle w:val="6"/>
        <w:bidi w:val="0"/>
        <w:ind w:left="0" w:leftChars="0" w:firstLine="0" w:firstLineChars="0"/>
        <w:rPr>
          <w:rFonts w:hint="default" w:ascii="Times New Roman" w:hAnsi="Times New Roman" w:eastAsia="宋体" w:cs="Times New Roman"/>
          <w:lang w:val="en-US" w:eastAsia="zh-CN"/>
        </w:rPr>
      </w:pPr>
      <w:bookmarkStart w:id="3" w:name="_Toc9831"/>
      <w:r>
        <w:rPr>
          <w:rFonts w:hint="default" w:ascii="Times New Roman" w:hAnsi="Times New Roman" w:eastAsia="宋体" w:cs="Times New Roman"/>
          <w:lang w:val="en-US" w:eastAsia="zh-CN"/>
        </w:rPr>
        <w:t>1.2.1 政策法规</w:t>
      </w:r>
      <w:bookmarkEnd w:id="3"/>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（1）《中华人民共和国环境保护法》（2015年1月1日）；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（2）《中华人民共和国水污染防治法》（2018年1月1日）；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（3）《建设项目环境保护管理条例》（2017年10月1日）；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（4）《河北省环境保护条例》（2005年5月1日）：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（5）《土壤污染防治行动计划》（国发[2016]31号）；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（6）《河北省“净土行动”土壤污染防治工作方案》（冀政发[2017]3 号）；</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（7）《关于印发&lt;2019年河北省土壤污染防治工作要点&gt;的通知》（冀土领办〔2019〕4号）；</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（8）《邢台市净土保卫战行动计划》；</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（9）《2019年邢台市土壤污染防治工作要点》。</w:t>
      </w:r>
    </w:p>
    <w:p>
      <w:pPr>
        <w:pStyle w:val="6"/>
        <w:bidi w:val="0"/>
        <w:ind w:left="0" w:leftChars="0" w:firstLine="0" w:firstLineChars="0"/>
        <w:rPr>
          <w:rFonts w:hint="default" w:ascii="Times New Roman" w:hAnsi="Times New Roman" w:eastAsia="宋体" w:cs="Times New Roman"/>
          <w:lang w:val="en-US" w:eastAsia="zh-CN"/>
        </w:rPr>
      </w:pPr>
      <w:bookmarkStart w:id="4" w:name="_Toc2411"/>
      <w:r>
        <w:rPr>
          <w:rFonts w:hint="default" w:ascii="Times New Roman" w:hAnsi="Times New Roman" w:eastAsia="宋体" w:cs="Times New Roman"/>
          <w:lang w:val="en-US" w:eastAsia="zh-CN"/>
        </w:rPr>
        <w:t>1.2.2 技术规范</w:t>
      </w:r>
      <w:bookmarkEnd w:id="4"/>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（1）《场地环境调查技术导则》（HJ 25.1-2014）； </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（2）《场地环境监测技术导则》（HJ 25.2-2014）； </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（3）《在产企业土壤及地下水自行监测技术指南》（征求意见稿）；</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（4）《重点行业企业用地调查疑似污染地块布点技术规定》（试行）； </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（5）《重点行业企业用地调查样品采集保存和流转技术规定》(试行)； </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（6）《地下水环境监测技术规范》（HJ/T 164-2004）；</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（7）《地下水环境状况调查评价工作指南》；</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8</w:t>
      </w:r>
      <w:r>
        <w:rPr>
          <w:rFonts w:hint="default" w:ascii="Times New Roman" w:hAnsi="Times New Roman" w:eastAsia="宋体" w:cs="Times New Roman"/>
          <w:lang w:eastAsia="zh-CN"/>
        </w:rPr>
        <w:t>）</w:t>
      </w:r>
      <w:r>
        <w:rPr>
          <w:rFonts w:hint="default" w:ascii="Times New Roman" w:hAnsi="Times New Roman" w:eastAsia="宋体" w:cs="Times New Roman"/>
          <w:sz w:val="24"/>
          <w:szCs w:val="24"/>
          <w:lang w:val="en-US" w:eastAsia="zh-CN"/>
        </w:rPr>
        <w:t>《岩土工程勘查规范》（GB50021-2001）；</w:t>
      </w:r>
    </w:p>
    <w:p>
      <w:pPr>
        <w:rPr>
          <w:rFonts w:hint="default" w:ascii="Times New Roman" w:hAnsi="Times New Roman" w:eastAsia="宋体" w:cs="Times New Roman"/>
          <w:lang w:eastAsia="zh-CN"/>
        </w:rPr>
      </w:pPr>
      <w:r>
        <w:rPr>
          <w:rFonts w:hint="default" w:ascii="Times New Roman" w:hAnsi="Times New Roman" w:eastAsia="宋体" w:cs="Times New Roman"/>
          <w:sz w:val="24"/>
          <w:szCs w:val="24"/>
          <w:lang w:val="en-US" w:eastAsia="zh-CN"/>
        </w:rPr>
        <w:t>（9）《土壤环境监测技术规范》（HJ/T 166-2004）</w:t>
      </w:r>
      <w:r>
        <w:rPr>
          <w:rFonts w:hint="default" w:ascii="Times New Roman" w:hAnsi="Times New Roman" w:eastAsia="宋体" w:cs="Times New Roman"/>
          <w:lang w:eastAsia="zh-CN"/>
        </w:rPr>
        <w:t>。</w:t>
      </w:r>
    </w:p>
    <w:p>
      <w:pPr>
        <w:pStyle w:val="6"/>
        <w:bidi w:val="0"/>
        <w:ind w:left="0" w:leftChars="0" w:firstLine="0" w:firstLineChars="0"/>
        <w:rPr>
          <w:rFonts w:hint="default" w:ascii="Times New Roman" w:hAnsi="Times New Roman" w:eastAsia="宋体" w:cs="Times New Roman"/>
          <w:lang w:val="en-US" w:eastAsia="zh-CN"/>
        </w:rPr>
      </w:pPr>
      <w:bookmarkStart w:id="5" w:name="_Toc7908"/>
      <w:r>
        <w:rPr>
          <w:rFonts w:hint="default" w:ascii="Times New Roman" w:hAnsi="Times New Roman" w:eastAsia="宋体" w:cs="Times New Roman"/>
          <w:lang w:val="en-US" w:eastAsia="zh-CN"/>
        </w:rPr>
        <w:t>1.2.3 执行标准</w:t>
      </w:r>
      <w:bookmarkEnd w:id="5"/>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（1）《土壤环境质量建设用地土壤污染风险管控标准（试行）》 （GB36600-2018）；</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（2）《地下水质量标准》（GB/T 14848-2017）。</w:t>
      </w:r>
      <w:r>
        <w:rPr>
          <w:rFonts w:hint="default" w:ascii="Times New Roman" w:hAnsi="Times New Roman" w:eastAsia="宋体" w:cs="Times New Roman"/>
          <w:lang w:val="en-US" w:eastAsia="zh-CN"/>
        </w:rPr>
        <w:br w:type="page"/>
      </w:r>
    </w:p>
    <w:p>
      <w:pPr>
        <w:pStyle w:val="5"/>
        <w:bidi w:val="0"/>
        <w:ind w:left="0" w:leftChars="0" w:firstLine="0" w:firstLineChars="0"/>
        <w:rPr>
          <w:rFonts w:hint="default" w:ascii="Times New Roman" w:hAnsi="Times New Roman" w:eastAsia="宋体" w:cs="Times New Roman"/>
          <w:sz w:val="28"/>
          <w:szCs w:val="28"/>
          <w:lang w:val="en-US" w:eastAsia="zh-CN"/>
        </w:rPr>
      </w:pPr>
      <w:bookmarkStart w:id="6" w:name="_Toc17697"/>
      <w:bookmarkStart w:id="115" w:name="_GoBack"/>
      <w:bookmarkEnd w:id="115"/>
      <w:r>
        <w:rPr>
          <w:rFonts w:hint="default" w:ascii="Times New Roman" w:hAnsi="Times New Roman" w:eastAsia="宋体" w:cs="Times New Roman"/>
          <w:sz w:val="28"/>
          <w:szCs w:val="28"/>
          <w:lang w:val="en-US" w:eastAsia="zh-CN"/>
        </w:rPr>
        <w:t>1.3 调查范围及周边环境</w:t>
      </w:r>
      <w:bookmarkEnd w:id="6"/>
    </w:p>
    <w:p>
      <w:pPr>
        <w:pStyle w:val="6"/>
        <w:bidi w:val="0"/>
        <w:ind w:left="0" w:leftChars="0" w:firstLine="0" w:firstLineChars="0"/>
        <w:rPr>
          <w:rFonts w:hint="default" w:ascii="Times New Roman" w:hAnsi="Times New Roman" w:eastAsia="宋体" w:cs="Times New Roman"/>
          <w:lang w:val="en-US" w:eastAsia="zh-CN"/>
        </w:rPr>
      </w:pPr>
      <w:bookmarkStart w:id="7" w:name="_Toc30691"/>
      <w:r>
        <w:rPr>
          <w:rFonts w:hint="default" w:ascii="Times New Roman" w:hAnsi="Times New Roman" w:eastAsia="宋体" w:cs="Times New Roman"/>
          <w:lang w:val="en-US" w:eastAsia="zh-CN"/>
        </w:rPr>
        <w:t>1.3.1 调查原则</w:t>
      </w:r>
      <w:bookmarkEnd w:id="7"/>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（1）针对性原则</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针对企业在用疑似污染地块的特征和潜在污染物特性，进行污染物浓度和空间分布调查，为疑似污染地块的环境管理提供依据。</w:t>
      </w:r>
      <w:r>
        <w:rPr>
          <w:rFonts w:hint="default" w:ascii="Times New Roman" w:hAnsi="Times New Roman" w:eastAsia="宋体" w:cs="Times New Roman"/>
          <w:color w:val="000000"/>
          <w:kern w:val="0"/>
          <w:sz w:val="28"/>
          <w:szCs w:val="28"/>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（2）规范性原则</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采用程序化和系统化的方式规范场地环境调查过程，保证调查过程的科学性和客观性。</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（3）可操作性原则</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综合考虑调查方法、时间和经费等因素，结合实际专业技术水平，使调查过程切实可行。</w:t>
      </w:r>
    </w:p>
    <w:p>
      <w:pPr>
        <w:pStyle w:val="6"/>
        <w:bidi w:val="0"/>
        <w:ind w:left="0" w:leftChars="0" w:firstLine="0" w:firstLineChars="0"/>
        <w:rPr>
          <w:rFonts w:hint="default" w:ascii="Times New Roman" w:hAnsi="Times New Roman" w:eastAsia="宋体" w:cs="Times New Roman"/>
          <w:lang w:val="en-US" w:eastAsia="zh-CN"/>
        </w:rPr>
      </w:pPr>
      <w:bookmarkStart w:id="8" w:name="_Toc8928"/>
      <w:r>
        <w:rPr>
          <w:rFonts w:hint="default" w:ascii="Times New Roman" w:hAnsi="Times New Roman" w:eastAsia="宋体" w:cs="Times New Roman"/>
          <w:lang w:val="en-US" w:eastAsia="zh-CN"/>
        </w:rPr>
        <w:t>1.3.2 调查范围</w:t>
      </w:r>
      <w:bookmarkEnd w:id="8"/>
    </w:p>
    <w:p>
      <w:pPr>
        <w:spacing w:line="480" w:lineRule="exact"/>
        <w:ind w:firstLine="480"/>
        <w:rPr>
          <w:rFonts w:hint="default" w:ascii="Times New Roman" w:hAnsi="Times New Roman" w:cs="Times New Roman"/>
        </w:rPr>
      </w:pPr>
      <w:r>
        <w:rPr>
          <w:rFonts w:hint="default" w:ascii="Times New Roman" w:hAnsi="Times New Roman" w:cs="Times New Roman"/>
        </w:rPr>
        <w:t>本项目调查地块位于</w:t>
      </w:r>
      <w:r>
        <w:rPr>
          <w:rFonts w:hint="default" w:ascii="Times New Roman" w:hAnsi="Times New Roman" w:eastAsia="宋体" w:cs="Times New Roman"/>
          <w:sz w:val="24"/>
          <w:szCs w:val="24"/>
          <w:lang w:eastAsia="zh-CN"/>
        </w:rPr>
        <w:t>邢台市</w:t>
      </w:r>
      <w:r>
        <w:rPr>
          <w:rFonts w:hint="default" w:ascii="Times New Roman" w:hAnsi="Times New Roman" w:eastAsia="宋体" w:cs="Times New Roman"/>
          <w:sz w:val="24"/>
          <w:szCs w:val="24"/>
          <w:lang w:val="en-US" w:eastAsia="zh-CN"/>
        </w:rPr>
        <w:t>任县工业区永康大街西头路北</w:t>
      </w:r>
      <w:r>
        <w:rPr>
          <w:rFonts w:hint="default" w:ascii="Times New Roman" w:hAnsi="Times New Roman" w:eastAsia="宋体" w:cs="Times New Roman"/>
          <w:sz w:val="24"/>
          <w:szCs w:val="24"/>
          <w:lang w:eastAsia="zh-CN"/>
        </w:rPr>
        <w:t>，东环路西侧。</w:t>
      </w:r>
      <w:r>
        <w:rPr>
          <w:rFonts w:hint="default" w:ascii="Times New Roman" w:hAnsi="Times New Roman" w:cs="Times New Roman"/>
        </w:rPr>
        <w:t>本次项目调查范围为</w:t>
      </w:r>
      <w:r>
        <w:rPr>
          <w:rFonts w:hint="default" w:ascii="Times New Roman" w:hAnsi="Times New Roman" w:eastAsia="宋体" w:cs="Times New Roman"/>
          <w:sz w:val="24"/>
          <w:szCs w:val="24"/>
          <w:lang w:eastAsia="zh-CN"/>
        </w:rPr>
        <w:t>邢台兴安液压机械有限公司</w:t>
      </w:r>
      <w:r>
        <w:rPr>
          <w:rFonts w:hint="default" w:ascii="Times New Roman" w:hAnsi="Times New Roman" w:cs="Times New Roman"/>
          <w:lang w:eastAsia="zh-CN"/>
        </w:rPr>
        <w:t>，</w:t>
      </w:r>
      <w:r>
        <w:rPr>
          <w:rFonts w:hint="default" w:ascii="Times New Roman" w:hAnsi="Times New Roman" w:eastAsia="宋体" w:cs="Times New Roman"/>
          <w:sz w:val="24"/>
          <w:szCs w:val="24"/>
          <w:lang w:eastAsia="zh-CN"/>
        </w:rPr>
        <w:t>占地面积</w:t>
      </w:r>
      <w:r>
        <w:rPr>
          <w:rFonts w:hint="default" w:ascii="Times New Roman" w:hAnsi="Times New Roman" w:eastAsia="宋体" w:cs="Times New Roman"/>
          <w:sz w:val="24"/>
          <w:szCs w:val="24"/>
          <w:lang w:val="en-US" w:eastAsia="zh-CN"/>
        </w:rPr>
        <w:t>33333.4</w:t>
      </w:r>
      <w:r>
        <w:rPr>
          <w:rFonts w:hint="default" w:ascii="Times New Roman" w:hAnsi="Times New Roman" w:eastAsia="宋体" w:cs="Times New Roman"/>
          <w:sz w:val="24"/>
          <w:szCs w:val="24"/>
          <w:lang w:eastAsia="zh-CN"/>
        </w:rPr>
        <w:t>m</w:t>
      </w:r>
      <w:r>
        <w:rPr>
          <w:rFonts w:hint="default" w:ascii="Times New Roman" w:hAnsi="Times New Roman" w:eastAsia="宋体" w:cs="Times New Roman"/>
          <w:sz w:val="24"/>
          <w:szCs w:val="24"/>
          <w:vertAlign w:val="superscript"/>
          <w:lang w:eastAsia="zh-CN"/>
        </w:rPr>
        <w:t>2</w:t>
      </w:r>
      <w:r>
        <w:rPr>
          <w:rFonts w:hint="default" w:ascii="Times New Roman" w:hAnsi="Times New Roman" w:eastAsia="宋体" w:cs="Times New Roman"/>
          <w:sz w:val="24"/>
          <w:szCs w:val="24"/>
          <w:lang w:eastAsia="zh-CN"/>
        </w:rPr>
        <w:t>（合</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0亩）。场地中心坐标为</w:t>
      </w:r>
      <w:r>
        <w:rPr>
          <w:rFonts w:hint="default" w:ascii="Times New Roman" w:hAnsi="Times New Roman" w:eastAsia="宋体" w:cs="Times New Roman"/>
          <w:sz w:val="24"/>
          <w:szCs w:val="24"/>
          <w:lang w:val="en-US" w:eastAsia="zh-CN"/>
        </w:rPr>
        <w:t>E 114°39′18.12″，N 37°8′41.32″。</w:t>
      </w:r>
      <w:r>
        <w:rPr>
          <w:rFonts w:hint="default" w:ascii="Times New Roman" w:hAnsi="Times New Roman" w:cs="Times New Roman"/>
        </w:rPr>
        <w:t>调查范围见图1.3-1（红线部分）。</w:t>
      </w:r>
    </w:p>
    <w:p>
      <w:pPr>
        <w:spacing w:line="480" w:lineRule="exact"/>
        <w:ind w:firstLine="480"/>
        <w:jc w:val="center"/>
        <w:rPr>
          <w:rFonts w:hint="default" w:ascii="Times New Roman" w:hAnsi="Times New Roman" w:cs="Times New Roman"/>
          <w:b/>
          <w:bCs/>
          <w:lang w:val="en-US" w:eastAsia="zh-CN"/>
        </w:rPr>
      </w:pPr>
      <w:r>
        <w:rPr>
          <w:rFonts w:hint="default" w:ascii="Times New Roman" w:hAnsi="Times New Roman" w:cs="Times New Roman"/>
          <w:b/>
          <w:bCs/>
          <w:sz w:val="24"/>
        </w:rPr>
        <mc:AlternateContent>
          <mc:Choice Requires="wps">
            <w:drawing>
              <wp:anchor distT="0" distB="0" distL="114300" distR="114300" simplePos="0" relativeHeight="252181504" behindDoc="0" locked="0" layoutInCell="1" allowOverlap="1">
                <wp:simplePos x="0" y="0"/>
                <wp:positionH relativeFrom="column">
                  <wp:posOffset>1828165</wp:posOffset>
                </wp:positionH>
                <wp:positionV relativeFrom="paragraph">
                  <wp:posOffset>1365885</wp:posOffset>
                </wp:positionV>
                <wp:extent cx="1925320" cy="973455"/>
                <wp:effectExtent l="0" t="0" r="0" b="0"/>
                <wp:wrapNone/>
                <wp:docPr id="4" name="文本框 4"/>
                <wp:cNvGraphicFramePr/>
                <a:graphic xmlns:a="http://schemas.openxmlformats.org/drawingml/2006/main">
                  <a:graphicData uri="http://schemas.microsoft.com/office/word/2010/wordprocessingShape">
                    <wps:wsp>
                      <wps:cNvSpPr txBox="1"/>
                      <wps:spPr>
                        <a:xfrm>
                          <a:off x="2971165" y="2280285"/>
                          <a:ext cx="1925320" cy="973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center"/>
                              <w:rPr>
                                <w:rFonts w:hint="eastAsia"/>
                                <w:sz w:val="21"/>
                                <w:szCs w:val="21"/>
                                <w:highlight w:val="yellow"/>
                                <w:lang w:eastAsia="zh-CN"/>
                              </w:rPr>
                            </w:pPr>
                            <w:r>
                              <w:rPr>
                                <w:rFonts w:hint="eastAsia"/>
                                <w:sz w:val="21"/>
                                <w:szCs w:val="21"/>
                                <w:highlight w:val="yellow"/>
                                <w:lang w:eastAsia="zh-CN"/>
                              </w:rPr>
                              <w:t>本项目调查范围</w:t>
                            </w:r>
                          </w:p>
                          <w:p>
                            <w:pPr>
                              <w:pStyle w:val="14"/>
                              <w:spacing w:line="240" w:lineRule="auto"/>
                              <w:ind w:left="0" w:leftChars="0" w:firstLine="0" w:firstLineChars="0"/>
                              <w:jc w:val="center"/>
                              <w:rPr>
                                <w:rFonts w:hint="default"/>
                                <w:sz w:val="21"/>
                                <w:szCs w:val="21"/>
                                <w:highlight w:val="yellow"/>
                                <w:lang w:val="en-US" w:eastAsia="zh-CN"/>
                              </w:rPr>
                            </w:pPr>
                            <w:r>
                              <w:rPr>
                                <w:rFonts w:hint="default" w:ascii="Times New Roman" w:hAnsi="Times New Roman" w:cs="Times New Roman" w:eastAsiaTheme="majorEastAsia"/>
                                <w:color w:val="auto"/>
                                <w:kern w:val="0"/>
                                <w:sz w:val="21"/>
                                <w:szCs w:val="21"/>
                                <w:highlight w:val="yellow"/>
                                <w:lang w:val="en-US" w:eastAsia="zh-CN" w:bidi="ar-SA"/>
                              </w:rPr>
                              <w:t>33333.4</w:t>
                            </w:r>
                            <w:r>
                              <w:rPr>
                                <w:rFonts w:hint="eastAsia" w:ascii="Times New Roman" w:hAnsi="Times New Roman" w:cs="Times New Roman" w:eastAsiaTheme="majorEastAsia"/>
                                <w:color w:val="auto"/>
                                <w:kern w:val="0"/>
                                <w:sz w:val="21"/>
                                <w:szCs w:val="21"/>
                                <w:highlight w:val="yellow"/>
                                <w:lang w:val="en-US" w:eastAsia="zh-CN" w:bidi="ar-SA"/>
                              </w:rPr>
                              <w:t>m</w:t>
                            </w:r>
                            <w:r>
                              <w:rPr>
                                <w:rFonts w:hint="eastAsia" w:ascii="Times New Roman" w:hAnsi="Times New Roman" w:cs="Times New Roman" w:eastAsiaTheme="majorEastAsia"/>
                                <w:color w:val="auto"/>
                                <w:kern w:val="0"/>
                                <w:sz w:val="21"/>
                                <w:szCs w:val="21"/>
                                <w:highlight w:val="yellow"/>
                                <w:vertAlign w:val="superscript"/>
                                <w:lang w:val="en-US" w:eastAsia="zh-CN" w:bidi="ar-SA"/>
                              </w:rPr>
                              <w:t>2</w:t>
                            </w:r>
                            <w:r>
                              <w:rPr>
                                <w:rFonts w:hint="eastAsia"/>
                                <w:sz w:val="21"/>
                                <w:szCs w:val="21"/>
                                <w:highlight w:val="yellow"/>
                                <w:lang w:val="en-US" w:eastAsia="zh-CN"/>
                              </w:rPr>
                              <w:t>（约50亩）</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3.95pt;margin-top:107.55pt;height:76.65pt;width:151.6pt;z-index:252181504;mso-width-relative:page;mso-height-relative:page;" filled="f" stroked="f" coordsize="21600,21600" o:gfxdata="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3J9x1wAAAAsBAAAPAAAAAAAAAAEAIAAAACIAAABkcnMvZG93bnJldi54bWxQ&#10;SwECFAAUAAAACACHTuJAI8nxFzECAAAwBAAADgAAAAAAAAABACAAAAAmAQAAZHJzL2Uyb0RvYy54&#10;bWxQSwUGAAAAAAYABgBZAQAAyQUAAAAA&#10;">
                <v:fill on="f" focussize="0,0"/>
                <v:stroke on="f" weight="0.5pt"/>
                <v:imagedata o:title=""/>
                <o:lock v:ext="edit" aspectratio="f"/>
                <v:textbox style="mso-fit-shape-to-text:t;">
                  <w:txbxContent>
                    <w:p>
                      <w:pPr>
                        <w:spacing w:line="240" w:lineRule="auto"/>
                        <w:ind w:left="0" w:leftChars="0" w:firstLine="0" w:firstLineChars="0"/>
                        <w:jc w:val="center"/>
                        <w:rPr>
                          <w:rFonts w:hint="eastAsia"/>
                          <w:sz w:val="21"/>
                          <w:szCs w:val="21"/>
                          <w:highlight w:val="yellow"/>
                          <w:lang w:eastAsia="zh-CN"/>
                        </w:rPr>
                      </w:pPr>
                      <w:r>
                        <w:rPr>
                          <w:rFonts w:hint="eastAsia"/>
                          <w:sz w:val="21"/>
                          <w:szCs w:val="21"/>
                          <w:highlight w:val="yellow"/>
                          <w:lang w:eastAsia="zh-CN"/>
                        </w:rPr>
                        <w:t>本项目调查范围</w:t>
                      </w:r>
                    </w:p>
                    <w:p>
                      <w:pPr>
                        <w:pStyle w:val="14"/>
                        <w:spacing w:line="240" w:lineRule="auto"/>
                        <w:ind w:left="0" w:leftChars="0" w:firstLine="0" w:firstLineChars="0"/>
                        <w:jc w:val="center"/>
                        <w:rPr>
                          <w:rFonts w:hint="default"/>
                          <w:sz w:val="21"/>
                          <w:szCs w:val="21"/>
                          <w:highlight w:val="yellow"/>
                          <w:lang w:val="en-US" w:eastAsia="zh-CN"/>
                        </w:rPr>
                      </w:pPr>
                      <w:r>
                        <w:rPr>
                          <w:rFonts w:hint="default" w:ascii="Times New Roman" w:hAnsi="Times New Roman" w:cs="Times New Roman" w:eastAsiaTheme="majorEastAsia"/>
                          <w:color w:val="auto"/>
                          <w:kern w:val="0"/>
                          <w:sz w:val="21"/>
                          <w:szCs w:val="21"/>
                          <w:highlight w:val="yellow"/>
                          <w:lang w:val="en-US" w:eastAsia="zh-CN" w:bidi="ar-SA"/>
                        </w:rPr>
                        <w:t>33333.4</w:t>
                      </w:r>
                      <w:r>
                        <w:rPr>
                          <w:rFonts w:hint="eastAsia" w:ascii="Times New Roman" w:hAnsi="Times New Roman" w:cs="Times New Roman" w:eastAsiaTheme="majorEastAsia"/>
                          <w:color w:val="auto"/>
                          <w:kern w:val="0"/>
                          <w:sz w:val="21"/>
                          <w:szCs w:val="21"/>
                          <w:highlight w:val="yellow"/>
                          <w:lang w:val="en-US" w:eastAsia="zh-CN" w:bidi="ar-SA"/>
                        </w:rPr>
                        <w:t>m</w:t>
                      </w:r>
                      <w:r>
                        <w:rPr>
                          <w:rFonts w:hint="eastAsia" w:ascii="Times New Roman" w:hAnsi="Times New Roman" w:cs="Times New Roman" w:eastAsiaTheme="majorEastAsia"/>
                          <w:color w:val="auto"/>
                          <w:kern w:val="0"/>
                          <w:sz w:val="21"/>
                          <w:szCs w:val="21"/>
                          <w:highlight w:val="yellow"/>
                          <w:vertAlign w:val="superscript"/>
                          <w:lang w:val="en-US" w:eastAsia="zh-CN" w:bidi="ar-SA"/>
                        </w:rPr>
                        <w:t>2</w:t>
                      </w:r>
                      <w:r>
                        <w:rPr>
                          <w:rFonts w:hint="eastAsia"/>
                          <w:sz w:val="21"/>
                          <w:szCs w:val="21"/>
                          <w:highlight w:val="yellow"/>
                          <w:lang w:val="en-US" w:eastAsia="zh-CN"/>
                        </w:rPr>
                        <w:t>（约50亩）</w:t>
                      </w:r>
                    </w:p>
                  </w:txbxContent>
                </v:textbox>
              </v:shape>
            </w:pict>
          </mc:Fallback>
        </mc:AlternateContent>
      </w:r>
      <w:r>
        <w:rPr>
          <w:rFonts w:hint="default" w:ascii="Times New Roman" w:hAnsi="Times New Roman" w:cs="Times New Roman"/>
          <w:b/>
          <w:bCs/>
          <w:lang w:val="en-US" w:eastAsia="zh-CN"/>
        </w:rPr>
        <w:drawing>
          <wp:anchor distT="0" distB="0" distL="114935" distR="114935" simplePos="0" relativeHeight="252180480" behindDoc="0" locked="0" layoutInCell="1" allowOverlap="1">
            <wp:simplePos x="0" y="0"/>
            <wp:positionH relativeFrom="column">
              <wp:posOffset>289560</wp:posOffset>
            </wp:positionH>
            <wp:positionV relativeFrom="paragraph">
              <wp:posOffset>121285</wp:posOffset>
            </wp:positionV>
            <wp:extent cx="4982845" cy="4032885"/>
            <wp:effectExtent l="0" t="0" r="8255" b="5715"/>
            <wp:wrapSquare wrapText="bothSides"/>
            <wp:docPr id="2" name="图片 2" descr="3dbea3727492e31a446f8ba08d40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bea3727492e31a446f8ba08d408cf"/>
                    <pic:cNvPicPr>
                      <a:picLocks noChangeAspect="1"/>
                    </pic:cNvPicPr>
                  </pic:nvPicPr>
                  <pic:blipFill>
                    <a:blip r:embed="rId10"/>
                    <a:stretch>
                      <a:fillRect/>
                    </a:stretch>
                  </pic:blipFill>
                  <pic:spPr>
                    <a:xfrm>
                      <a:off x="0" y="0"/>
                      <a:ext cx="4982845" cy="4032885"/>
                    </a:xfrm>
                    <a:prstGeom prst="rect">
                      <a:avLst/>
                    </a:prstGeom>
                  </pic:spPr>
                </pic:pic>
              </a:graphicData>
            </a:graphic>
          </wp:anchor>
        </w:drawing>
      </w:r>
      <w:r>
        <w:rPr>
          <w:rFonts w:hint="default" w:ascii="Times New Roman" w:hAnsi="Times New Roman" w:cs="Times New Roman"/>
          <w:b/>
          <w:bCs/>
          <w:lang w:val="en-US" w:eastAsia="zh-CN"/>
        </w:rPr>
        <w:t xml:space="preserve">图1.3-1  </w:t>
      </w:r>
      <w:r>
        <w:rPr>
          <w:rFonts w:hint="default" w:ascii="Times New Roman" w:hAnsi="Times New Roman" w:cs="Times New Roman"/>
          <w:b/>
          <w:bCs/>
        </w:rPr>
        <w:t>调查范围示意图</w:t>
      </w:r>
    </w:p>
    <w:p>
      <w:pPr>
        <w:pStyle w:val="6"/>
        <w:bidi w:val="0"/>
        <w:ind w:left="0" w:leftChars="0" w:firstLine="0" w:firstLineChars="0"/>
        <w:rPr>
          <w:rFonts w:hint="default" w:ascii="Times New Roman" w:hAnsi="Times New Roman" w:eastAsia="宋体" w:cs="Times New Roman"/>
          <w:lang w:val="en-US" w:eastAsia="zh-CN"/>
        </w:rPr>
      </w:pPr>
      <w:bookmarkStart w:id="9" w:name="_Toc32013"/>
      <w:r>
        <w:rPr>
          <w:rFonts w:hint="default" w:ascii="Times New Roman" w:hAnsi="Times New Roman" w:eastAsia="宋体" w:cs="Times New Roman"/>
          <w:lang w:val="en-US" w:eastAsia="zh-CN"/>
        </w:rPr>
        <w:t>1.3.3 周边环境及周边环境敏感目标</w:t>
      </w:r>
      <w:bookmarkEnd w:id="9"/>
    </w:p>
    <w:p>
      <w:pPr>
        <w:pStyle w:val="3"/>
        <w:bidi w:val="0"/>
        <w:ind w:left="0" w:leftChars="0" w:firstLine="0" w:firstLineChars="0"/>
        <w:rPr>
          <w:rFonts w:hint="default" w:ascii="Times New Roman" w:hAnsi="Times New Roman" w:eastAsia="宋体" w:cs="Times New Roman"/>
          <w:b w:val="0"/>
          <w:kern w:val="0"/>
          <w:sz w:val="24"/>
          <w:szCs w:val="24"/>
          <w:lang w:val="en-US" w:eastAsia="zh-CN" w:bidi="ar"/>
        </w:rPr>
      </w:pPr>
      <w:r>
        <w:rPr>
          <w:rFonts w:hint="default" w:ascii="Times New Roman" w:hAnsi="Times New Roman" w:eastAsia="宋体" w:cs="Times New Roman"/>
          <w:b w:val="0"/>
          <w:kern w:val="0"/>
          <w:sz w:val="24"/>
          <w:szCs w:val="24"/>
          <w:lang w:val="en-US" w:eastAsia="zh-CN" w:bidi="ar"/>
        </w:rPr>
        <w:t>1.3.3.1 周边环境关系图</w:t>
      </w:r>
    </w:p>
    <w:p>
      <w:pPr>
        <w:pStyle w:val="14"/>
        <w:jc w:val="both"/>
        <w:rPr>
          <w:rFonts w:hint="default" w:ascii="Times New Roman" w:hAnsi="Times New Roman" w:cs="Times New Roman"/>
          <w:lang w:val="en-US" w:eastAsia="zh-CN"/>
        </w:rPr>
      </w:pPr>
      <w:r>
        <w:rPr>
          <w:rFonts w:hint="default" w:ascii="Times New Roman" w:hAnsi="Times New Roman" w:cs="Times New Roman"/>
          <w:lang w:eastAsia="zh-CN"/>
        </w:rPr>
        <w:t>按照场地周边踏勘情况，邢台兴安液压机械有限公司四周均为工厂。其中场地</w:t>
      </w:r>
      <w:r>
        <w:rPr>
          <w:rFonts w:hint="default" w:ascii="Times New Roman" w:hAnsi="Times New Roman" w:cs="Times New Roman"/>
          <w:lang w:val="en-US" w:eastAsia="zh-CN"/>
        </w:rPr>
        <w:t>东侧是邢台市农药厂；北侧为任县金丰工贸有限公司；南侧为永康街，隔路为河北刑工机械制造有限公司；西侧为顺德路，隔路为邢台顺达铁路配件有限公司。项目周边关系见图1.3-2。</w:t>
      </w:r>
    </w:p>
    <w:p>
      <w:pPr>
        <w:pStyle w:val="14"/>
        <w:ind w:left="0" w:leftChars="0" w:firstLine="0" w:firstLineChars="0"/>
        <w:jc w:val="both"/>
        <w:rPr>
          <w:rFonts w:hint="default" w:ascii="Times New Roman" w:hAnsi="Times New Roman" w:cs="Times New Roman"/>
          <w:lang w:val="en-US" w:eastAsia="zh-CN"/>
        </w:rPr>
      </w:pPr>
      <w:r>
        <w:rPr>
          <w:rFonts w:hint="default" w:ascii="Times New Roman" w:hAnsi="Times New Roman" w:cs="Times New Roman"/>
          <w:sz w:val="24"/>
        </w:rPr>
        <mc:AlternateContent>
          <mc:Choice Requires="wps">
            <w:drawing>
              <wp:anchor distT="0" distB="0" distL="114300" distR="114300" simplePos="0" relativeHeight="523598848" behindDoc="0" locked="0" layoutInCell="1" allowOverlap="1">
                <wp:simplePos x="0" y="0"/>
                <wp:positionH relativeFrom="column">
                  <wp:posOffset>780415</wp:posOffset>
                </wp:positionH>
                <wp:positionV relativeFrom="paragraph">
                  <wp:posOffset>1541780</wp:posOffset>
                </wp:positionV>
                <wp:extent cx="1102995" cy="65849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102995" cy="658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邢台顺达铁路</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配件有限公司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45pt;margin-top:121.4pt;height:51.85pt;width:86.85pt;z-index:523598848;mso-width-relative:page;mso-height-relative:page;" filled="f" stroked="f" coordsize="21600,21600" o:gfxdata="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c6v&#10;3NsAAAALAQAADwAAAAAAAAABACAAAAAiAAAAZHJzL2Rvd25yZXYueG1sUEsBAhQAFAAAAAgAh07i&#10;QADpnLYfAgAAHAQAAA4AAAAAAAAAAQAgAAAAKgEAAGRycy9lMm9Eb2MueG1sUEsFBgAAAAAGAAYA&#10;WQEAALs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邢台顺达铁路</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配件有限公司</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387628032" behindDoc="0" locked="0" layoutInCell="1" allowOverlap="1">
                <wp:simplePos x="0" y="0"/>
                <wp:positionH relativeFrom="column">
                  <wp:posOffset>3151505</wp:posOffset>
                </wp:positionH>
                <wp:positionV relativeFrom="paragraph">
                  <wp:posOffset>1644015</wp:posOffset>
                </wp:positionV>
                <wp:extent cx="1570355" cy="34734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570355" cy="347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邢台市农药厂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15pt;margin-top:129.45pt;height:27.35pt;width:123.65pt;z-index:387628032;mso-width-relative:page;mso-height-relative:page;" filled="f" stroked="f" coordsize="21600,21600" o:gfxdata="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oWD8t0AAAALAQAADwAAAAAAAAABACAAAAAiAAAAZHJzL2Rvd25yZXYueG1sUEsBAhQAFAAAAAgA&#10;h07iQLSFuUkgAgAAHAQAAA4AAAAAAAAAAQAgAAAALAEAAGRycy9lMm9Eb2MueG1sUEsFBgAAAAAG&#10;AAYAWQEAAL4FAAAAAA==&#10;">
                <v:fill on="f" focussize="0,0"/>
                <v:stroke on="f" weight="0.5pt"/>
                <v:imagedata o:title=""/>
                <o:lock v:ext="edit" aspectratio="f"/>
                <v:textbox>
                  <w:txbxContent>
                    <w:p>
                      <w:pPr>
                        <w:ind w:left="0" w:leftChars="0" w:firstLine="0" w:firstLineChars="0"/>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邢台市农药厂</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455613440" behindDoc="0" locked="0" layoutInCell="1" allowOverlap="1">
                <wp:simplePos x="0" y="0"/>
                <wp:positionH relativeFrom="column">
                  <wp:posOffset>2169795</wp:posOffset>
                </wp:positionH>
                <wp:positionV relativeFrom="paragraph">
                  <wp:posOffset>2593340</wp:posOffset>
                </wp:positionV>
                <wp:extent cx="1570355" cy="34734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570355" cy="347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任县金丰工贸有限公司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85pt;margin-top:204.2pt;height:27.35pt;width:123.65pt;z-index:455613440;mso-width-relative:page;mso-height-relative:page;" filled="f" stroked="f" coordsize="21600,21600" o:gfxdata="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2C&#10;3cPcAAAACwEAAA8AAAAAAAAAAQAgAAAAIgAAAGRycy9kb3ducmV2LnhtbFBLAQIUABQAAAAIAIdO&#10;4kAmYobaHwIAABwEAAAOAAAAAAAAAAEAIAAAACsBAABkcnMvZTJvRG9jLnhtbFBLBQYAAAAABgAG&#10;AFkBAAC8BQAAAAA=&#10;">
                <v:fill on="f" focussize="0,0"/>
                <v:stroke on="f" weight="0.5pt"/>
                <v:imagedata o:title=""/>
                <o:lock v:ext="edit" aspectratio="f"/>
                <v:textbox>
                  <w:txbxContent>
                    <w:p>
                      <w:pPr>
                        <w:ind w:left="0" w:leftChars="0" w:firstLine="0" w:firstLineChars="0"/>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任县金丰工贸有限公司</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319642624" behindDoc="0" locked="0" layoutInCell="1" allowOverlap="1">
                <wp:simplePos x="0" y="0"/>
                <wp:positionH relativeFrom="column">
                  <wp:posOffset>2037715</wp:posOffset>
                </wp:positionH>
                <wp:positionV relativeFrom="paragraph">
                  <wp:posOffset>989330</wp:posOffset>
                </wp:positionV>
                <wp:extent cx="1130300" cy="54673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130300" cy="546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任县金丰工贸</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5pt;margin-top:77.9pt;height:43.05pt;width:89pt;z-index:319642624;mso-width-relative:page;mso-height-relative:page;" filled="f" stroked="f" coordsize="21600,21600" o:gfxdata="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2gf&#10;v9sAAAALAQAADwAAAAAAAAABACAAAAAiAAAAZHJzL2Rvd25yZXYueG1sUEsBAhQAFAAAAAgAh07i&#10;QLtDfz0fAgAAHAQAAA4AAAAAAAAAAQAgAAAAKgEAAGRycy9lMm9Eb2MueG1sUEsFBgAAAAAGAAYA&#10;WQEAALs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任县金丰工贸</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有限公司</w:t>
                      </w:r>
                    </w:p>
                  </w:txbxContent>
                </v:textbox>
              </v:shape>
            </w:pict>
          </mc:Fallback>
        </mc:AlternateContent>
      </w:r>
      <w:r>
        <w:rPr>
          <w:rFonts w:hint="default" w:ascii="Times New Roman" w:hAnsi="Times New Roman" w:cs="Times New Roman"/>
          <w:lang w:val="en-US" w:eastAsia="zh-CN"/>
        </w:rPr>
        <w:drawing>
          <wp:inline distT="0" distB="0" distL="114300" distR="114300">
            <wp:extent cx="5273040" cy="3954780"/>
            <wp:effectExtent l="0" t="0" r="3810" b="7620"/>
            <wp:docPr id="101" name="图片 101" descr="fa09be92fbcaf2f0b40177d38635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a09be92fbcaf2f0b40177d386356e6"/>
                    <pic:cNvPicPr>
                      <a:picLocks noChangeAspect="1"/>
                    </pic:cNvPicPr>
                  </pic:nvPicPr>
                  <pic:blipFill>
                    <a:blip r:embed="rId11"/>
                    <a:stretch>
                      <a:fillRect/>
                    </a:stretch>
                  </pic:blipFill>
                  <pic:spPr>
                    <a:xfrm>
                      <a:off x="0" y="0"/>
                      <a:ext cx="5273040" cy="3954780"/>
                    </a:xfrm>
                    <a:prstGeom prst="rect">
                      <a:avLst/>
                    </a:prstGeom>
                  </pic:spPr>
                </pic:pic>
              </a:graphicData>
            </a:graphic>
          </wp:inline>
        </w:drawing>
      </w:r>
    </w:p>
    <w:p>
      <w:pPr>
        <w:pStyle w:val="14"/>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b/>
          <w:bCs/>
          <w:lang w:val="en-US" w:eastAsia="zh-CN"/>
        </w:rPr>
        <w:t xml:space="preserve">图1.3-2  </w:t>
      </w:r>
      <w:r>
        <w:rPr>
          <w:rFonts w:hint="default" w:ascii="Times New Roman" w:hAnsi="Times New Roman" w:cs="Times New Roman"/>
          <w:b/>
          <w:bCs/>
          <w:lang w:eastAsia="zh-CN"/>
        </w:rPr>
        <w:t>项目周边环境关系图</w:t>
      </w:r>
    </w:p>
    <w:p>
      <w:pPr>
        <w:pStyle w:val="3"/>
        <w:keepNext/>
        <w:keepLines/>
        <w:pageBreakBefore w:val="0"/>
        <w:widowControl/>
        <w:kinsoku/>
        <w:wordWrap/>
        <w:overflowPunct/>
        <w:topLinePunct w:val="0"/>
        <w:autoSpaceDE/>
        <w:autoSpaceDN/>
        <w:bidi w:val="0"/>
        <w:adjustRightInd/>
        <w:snapToGrid/>
        <w:spacing w:before="60" w:after="60"/>
        <w:ind w:left="0" w:leftChars="0" w:firstLine="0" w:firstLineChars="0"/>
        <w:textAlignment w:val="auto"/>
        <w:rPr>
          <w:rFonts w:hint="default" w:ascii="Times New Roman" w:hAnsi="Times New Roman" w:eastAsia="宋体" w:cs="Times New Roman"/>
          <w:b w:val="0"/>
          <w:kern w:val="0"/>
          <w:sz w:val="24"/>
          <w:szCs w:val="24"/>
          <w:highlight w:val="none"/>
          <w:lang w:val="en-US" w:eastAsia="zh-CN" w:bidi="ar"/>
        </w:rPr>
      </w:pPr>
      <w:r>
        <w:rPr>
          <w:rFonts w:hint="default" w:ascii="Times New Roman" w:hAnsi="Times New Roman" w:eastAsia="宋体" w:cs="Times New Roman"/>
          <w:b w:val="0"/>
          <w:kern w:val="0"/>
          <w:sz w:val="24"/>
          <w:szCs w:val="24"/>
          <w:highlight w:val="none"/>
          <w:lang w:val="en-US" w:eastAsia="zh-CN" w:bidi="ar"/>
        </w:rPr>
        <w:t>1.3.3.2 周边环境敏感目标</w:t>
      </w:r>
    </w:p>
    <w:p>
      <w:pPr>
        <w:pageBreakBefore w:val="0"/>
        <w:kinsoku/>
        <w:wordWrap/>
        <w:overflowPunct/>
        <w:topLinePunct w:val="0"/>
        <w:bidi w:val="0"/>
        <w:spacing w:line="360" w:lineRule="auto"/>
        <w:rPr>
          <w:rFonts w:hint="default" w:ascii="Times New Roman" w:hAnsi="Times New Roman" w:eastAsia="宋体" w:cs="Times New Roman"/>
          <w:color w:val="auto"/>
          <w:kern w:val="0"/>
          <w:sz w:val="24"/>
          <w:szCs w:val="28"/>
          <w:lang w:val="en-US" w:eastAsia="zh-CN" w:bidi="ar-SA"/>
        </w:rPr>
      </w:pPr>
      <w:r>
        <w:rPr>
          <w:rFonts w:hint="default" w:ascii="Times New Roman" w:hAnsi="Times New Roman" w:eastAsia="宋体" w:cs="Times New Roman"/>
          <w:color w:val="auto"/>
          <w:kern w:val="0"/>
          <w:sz w:val="24"/>
          <w:szCs w:val="28"/>
          <w:lang w:val="en-US" w:eastAsia="zh-CN" w:bidi="ar-SA"/>
        </w:rPr>
        <w:t>据调查，本项目场地位于任县工业区内，场地周边环境敏感目标主要为周边村庄，其中西北侧间隔820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m为吴岳村，东北侧间隔1220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m为西许花村，西南侧间隔350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m为寺庄村，东侧间隔990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m为畅家屯村，东南侧间隔1000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m为北章固村。周边环境敏感目标情况如图1.3-3所示。</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73040" cy="4435475"/>
            <wp:effectExtent l="0" t="0" r="3810" b="3175"/>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12"/>
                    <a:stretch>
                      <a:fillRect/>
                    </a:stretch>
                  </pic:blipFill>
                  <pic:spPr>
                    <a:xfrm>
                      <a:off x="0" y="0"/>
                      <a:ext cx="5273040" cy="4435475"/>
                    </a:xfrm>
                    <a:prstGeom prst="rect">
                      <a:avLst/>
                    </a:prstGeom>
                    <a:noFill/>
                    <a:ln>
                      <a:noFill/>
                    </a:ln>
                  </pic:spPr>
                </pic:pic>
              </a:graphicData>
            </a:graphic>
          </wp:inline>
        </w:drawing>
      </w:r>
    </w:p>
    <w:p>
      <w:pPr>
        <w:pStyle w:val="14"/>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图1.3-</w:t>
      </w:r>
      <w:r>
        <w:rPr>
          <w:rFonts w:hint="default" w:ascii="Times New Roman" w:hAnsi="Times New Roman" w:cs="Times New Roman"/>
          <w:b/>
          <w:bCs/>
          <w:color w:val="auto"/>
          <w:sz w:val="24"/>
          <w:szCs w:val="24"/>
          <w:lang w:val="en-US" w:eastAsia="zh-CN"/>
        </w:rPr>
        <w:t xml:space="preserve">3  </w:t>
      </w:r>
      <w:r>
        <w:rPr>
          <w:rFonts w:hint="default" w:ascii="Times New Roman" w:hAnsi="Times New Roman" w:eastAsia="宋体" w:cs="Times New Roman"/>
          <w:b/>
          <w:bCs/>
          <w:color w:val="auto"/>
          <w:sz w:val="24"/>
          <w:szCs w:val="24"/>
          <w:lang w:val="en-US" w:eastAsia="zh-CN"/>
        </w:rPr>
        <w:t>项目周边</w:t>
      </w:r>
      <w:r>
        <w:rPr>
          <w:rFonts w:hint="default" w:ascii="Times New Roman" w:hAnsi="Times New Roman" w:cs="Times New Roman"/>
          <w:b/>
          <w:bCs/>
          <w:color w:val="auto"/>
          <w:sz w:val="24"/>
          <w:szCs w:val="24"/>
          <w:lang w:val="en-US" w:eastAsia="zh-CN"/>
        </w:rPr>
        <w:t>环境敏感目标图</w:t>
      </w:r>
    </w:p>
    <w:p>
      <w:pPr>
        <w:pStyle w:val="5"/>
        <w:keepNext/>
        <w:keepLines/>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z w:val="28"/>
          <w:szCs w:val="28"/>
          <w:lang w:val="en-US" w:eastAsia="zh-CN"/>
        </w:rPr>
      </w:pPr>
      <w:bookmarkStart w:id="10" w:name="_Toc533409827"/>
      <w:bookmarkStart w:id="11" w:name="_Toc11853"/>
      <w:r>
        <w:rPr>
          <w:rFonts w:hint="default" w:ascii="Times New Roman" w:hAnsi="Times New Roman" w:eastAsia="宋体" w:cs="Times New Roman"/>
          <w:sz w:val="28"/>
          <w:szCs w:val="28"/>
          <w:lang w:val="en-US" w:eastAsia="zh-CN"/>
        </w:rPr>
        <w:t>1.4 技术路线</w:t>
      </w:r>
      <w:bookmarkEnd w:id="10"/>
      <w:bookmarkEnd w:id="11"/>
    </w:p>
    <w:p>
      <w:pPr>
        <w:spacing w:line="480" w:lineRule="exact"/>
        <w:ind w:firstLine="480"/>
        <w:rPr>
          <w:rFonts w:hint="default" w:ascii="Times New Roman" w:hAnsi="Times New Roman" w:cs="Times New Roman"/>
        </w:rPr>
      </w:pPr>
      <w:r>
        <w:rPr>
          <w:rFonts w:hint="default" w:ascii="Times New Roman" w:hAnsi="Times New Roman" w:cs="Times New Roman"/>
        </w:rPr>
        <w:t>土壤环境监测工作内容一般包括：工作准备、基本信息核实、资料收集、现场勘查、信息整理与填报、识别疑似污染区域、筛选布点区域、制定布点计划、采样点现场确定、编制布点方案、采样方案设计、采样准备、土孔钻探、土壤样品采集、样品保存和流转、样品检测分析、监测结果评估、编制土壤环境质量状况报告。</w:t>
      </w:r>
    </w:p>
    <w:p>
      <w:pPr>
        <w:spacing w:line="480" w:lineRule="exact"/>
        <w:ind w:firstLine="480"/>
        <w:rPr>
          <w:rFonts w:hint="default" w:ascii="Times New Roman" w:hAnsi="Times New Roman" w:cs="Times New Roman"/>
          <w:szCs w:val="24"/>
        </w:rPr>
      </w:pPr>
      <w:r>
        <w:rPr>
          <w:rFonts w:hint="default" w:ascii="Times New Roman" w:hAnsi="Times New Roman" w:cs="Times New Roman"/>
        </w:rPr>
        <w:t>本项目环境质量状况调查技术路线见图1.4-1。</w:t>
      </w:r>
    </w:p>
    <w:p>
      <w:pPr>
        <w:pStyle w:val="2"/>
        <w:spacing w:line="360" w:lineRule="auto"/>
        <w:ind w:firstLine="480"/>
        <w:jc w:val="center"/>
        <w:rPr>
          <w:rFonts w:hint="default" w:ascii="Times New Roman" w:hAnsi="Times New Roman" w:cs="Times New Roman"/>
          <w:szCs w:val="24"/>
        </w:rPr>
      </w:pPr>
      <w:r>
        <w:rPr>
          <w:rFonts w:hint="default" w:ascii="Times New Roman" w:hAnsi="Times New Roman" w:cs="Times New Roman"/>
          <w:szCs w:val="24"/>
        </w:rPr>
        <mc:AlternateContent>
          <mc:Choice Requires="wpg">
            <w:drawing>
              <wp:inline distT="0" distB="0" distL="114300" distR="114300">
                <wp:extent cx="3149600" cy="8430895"/>
                <wp:effectExtent l="27305" t="4445" r="23495" b="22860"/>
                <wp:docPr id="97" name="组合 97"/>
                <wp:cNvGraphicFramePr/>
                <a:graphic xmlns:a="http://schemas.openxmlformats.org/drawingml/2006/main">
                  <a:graphicData uri="http://schemas.microsoft.com/office/word/2010/wordprocessingGroup">
                    <wpg:wgp>
                      <wpg:cNvGrpSpPr>
                        <a:grpSpLocks noRot="1"/>
                      </wpg:cNvGrpSpPr>
                      <wpg:grpSpPr>
                        <a:xfrm>
                          <a:off x="0" y="0"/>
                          <a:ext cx="3149600" cy="8430895"/>
                          <a:chOff x="3902" y="1465"/>
                          <a:chExt cx="4960" cy="13516"/>
                        </a:xfrm>
                      </wpg:grpSpPr>
                      <wps:wsp>
                        <wps:cNvPr id="35" name="文本框 35"/>
                        <wps:cNvSpPr txBox="1"/>
                        <wps:spPr>
                          <a:xfrm>
                            <a:off x="6181" y="10994"/>
                            <a:ext cx="431" cy="390"/>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是</w:t>
                              </w:r>
                            </w:p>
                          </w:txbxContent>
                        </wps:txbx>
                        <wps:bodyPr lIns="0" tIns="0" rIns="0" bIns="0" upright="1"/>
                      </wps:wsp>
                      <wpg:grpSp>
                        <wpg:cNvPr id="96" name="组合 96"/>
                        <wpg:cNvGrpSpPr/>
                        <wpg:grpSpPr>
                          <a:xfrm>
                            <a:off x="3902" y="1465"/>
                            <a:ext cx="4960" cy="13516"/>
                            <a:chOff x="3902" y="1465"/>
                            <a:chExt cx="4960" cy="13516"/>
                          </a:xfrm>
                        </wpg:grpSpPr>
                        <wps:wsp>
                          <wps:cNvPr id="36" name="文本框 36"/>
                          <wps:cNvSpPr txBox="1"/>
                          <wps:spPr>
                            <a:xfrm>
                              <a:off x="8389" y="10346"/>
                              <a:ext cx="431" cy="390"/>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否</w:t>
                                </w:r>
                              </w:p>
                            </w:txbxContent>
                          </wps:txbx>
                          <wps:bodyPr lIns="0" tIns="0" rIns="0" bIns="0" upright="1"/>
                        </wps:wsp>
                        <wpg:grpSp>
                          <wpg:cNvPr id="95" name="组合 95"/>
                          <wpg:cNvGrpSpPr/>
                          <wpg:grpSpPr>
                            <a:xfrm>
                              <a:off x="3902" y="1465"/>
                              <a:ext cx="4960" cy="13516"/>
                              <a:chOff x="3902" y="1465"/>
                              <a:chExt cx="4960" cy="13516"/>
                            </a:xfrm>
                          </wpg:grpSpPr>
                          <wps:wsp>
                            <wps:cNvPr id="37" name="流程图: 决策 37"/>
                            <wps:cNvSpPr/>
                            <wps:spPr>
                              <a:xfrm>
                                <a:off x="3902" y="10258"/>
                                <a:ext cx="4452" cy="794"/>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是否需要地下水采样</w:t>
                                  </w:r>
                                </w:p>
                              </w:txbxContent>
                            </wps:txbx>
                            <wps:bodyPr lIns="0" tIns="0" rIns="0" bIns="0" upright="1"/>
                          </wps:wsp>
                          <wpg:grpSp>
                            <wpg:cNvPr id="94" name="组合 94"/>
                            <wpg:cNvGrpSpPr/>
                            <wpg:grpSpPr>
                              <a:xfrm>
                                <a:off x="4095" y="1465"/>
                                <a:ext cx="4767" cy="13516"/>
                                <a:chOff x="4095" y="1465"/>
                                <a:chExt cx="4767" cy="13516"/>
                              </a:xfrm>
                            </wpg:grpSpPr>
                            <wps:wsp>
                              <wps:cNvPr id="38" name="文本框 38"/>
                              <wps:cNvSpPr txBox="1"/>
                              <wps:spPr>
                                <a:xfrm>
                                  <a:off x="6242" y="4015"/>
                                  <a:ext cx="564" cy="1016"/>
                                </a:xfrm>
                                <a:prstGeom prst="rect">
                                  <a:avLst/>
                                </a:prstGeom>
                                <a:solidFill>
                                  <a:srgbClr val="FFFFFF"/>
                                </a:solidFill>
                                <a:ln w="6350">
                                  <a:noFill/>
                                </a:ln>
                              </wps:spPr>
                              <wps:txbx>
                                <w:txbxContent>
                                  <w:p>
                                    <w:pPr>
                                      <w:spacing w:line="240" w:lineRule="auto"/>
                                      <w:ind w:firstLine="0" w:firstLineChars="0"/>
                                      <w:rPr>
                                        <w:sz w:val="21"/>
                                        <w:szCs w:val="21"/>
                                      </w:rPr>
                                    </w:pPr>
                                    <w:r>
                                      <w:rPr>
                                        <w:rFonts w:hint="eastAsia"/>
                                        <w:sz w:val="21"/>
                                        <w:szCs w:val="21"/>
                                      </w:rPr>
                                      <w:t>人员访谈</w:t>
                                    </w:r>
                                  </w:p>
                                </w:txbxContent>
                              </wps:txbx>
                              <wps:bodyPr vert="eaVert" upright="1"/>
                            </wps:wsp>
                            <wpg:grpSp>
                              <wpg:cNvPr id="93" name="组合 93"/>
                              <wpg:cNvGrpSpPr/>
                              <wpg:grpSpPr>
                                <a:xfrm>
                                  <a:off x="4095" y="1465"/>
                                  <a:ext cx="4767" cy="13516"/>
                                  <a:chOff x="4095" y="1465"/>
                                  <a:chExt cx="4767" cy="13516"/>
                                </a:xfrm>
                              </wpg:grpSpPr>
                              <wps:wsp>
                                <wps:cNvPr id="39" name="文本框 39"/>
                                <wps:cNvSpPr txBox="1"/>
                                <wps:spPr>
                                  <a:xfrm>
                                    <a:off x="5351" y="4028"/>
                                    <a:ext cx="564" cy="1016"/>
                                  </a:xfrm>
                                  <a:prstGeom prst="rect">
                                    <a:avLst/>
                                  </a:prstGeom>
                                  <a:solidFill>
                                    <a:srgbClr val="FFFFFF"/>
                                  </a:solidFill>
                                  <a:ln w="6350">
                                    <a:noFill/>
                                  </a:ln>
                                </wps:spPr>
                                <wps:txbx>
                                  <w:txbxContent>
                                    <w:p>
                                      <w:pPr>
                                        <w:spacing w:line="240" w:lineRule="auto"/>
                                        <w:ind w:firstLine="0" w:firstLineChars="0"/>
                                        <w:rPr>
                                          <w:sz w:val="21"/>
                                          <w:szCs w:val="21"/>
                                        </w:rPr>
                                      </w:pPr>
                                      <w:r>
                                        <w:rPr>
                                          <w:rFonts w:hint="eastAsia"/>
                                          <w:sz w:val="21"/>
                                          <w:szCs w:val="21"/>
                                        </w:rPr>
                                        <w:t>现场踏勘</w:t>
                                      </w:r>
                                    </w:p>
                                  </w:txbxContent>
                                </wps:txbx>
                                <wps:bodyPr vert="eaVert" upright="1"/>
                              </wps:wsp>
                              <wpg:grpSp>
                                <wpg:cNvPr id="92" name="组合 92"/>
                                <wpg:cNvGrpSpPr/>
                                <wpg:grpSpPr>
                                  <a:xfrm>
                                    <a:off x="4095" y="1465"/>
                                    <a:ext cx="4767" cy="13516"/>
                                    <a:chOff x="4095" y="1465"/>
                                    <a:chExt cx="4767" cy="13516"/>
                                  </a:xfrm>
                                </wpg:grpSpPr>
                                <wps:wsp>
                                  <wps:cNvPr id="40" name="文本框 40"/>
                                  <wps:cNvSpPr txBox="1"/>
                                  <wps:spPr>
                                    <a:xfrm>
                                      <a:off x="5433" y="3727"/>
                                      <a:ext cx="1253" cy="343"/>
                                    </a:xfrm>
                                    <a:prstGeom prst="rect">
                                      <a:avLst/>
                                    </a:prstGeom>
                                    <a:solidFill>
                                      <a:srgbClr val="FFFFFF"/>
                                    </a:solidFill>
                                    <a:ln w="6350">
                                      <a:noFill/>
                                    </a:ln>
                                  </wps:spPr>
                                  <wps:txbx>
                                    <w:txbxContent>
                                      <w:p>
                                        <w:pPr>
                                          <w:spacing w:line="240" w:lineRule="auto"/>
                                          <w:ind w:firstLine="0" w:firstLineChars="0"/>
                                          <w:jc w:val="center"/>
                                          <w:rPr>
                                            <w:sz w:val="21"/>
                                            <w:szCs w:val="21"/>
                                          </w:rPr>
                                        </w:pPr>
                                        <w:r>
                                          <w:rPr>
                                            <w:rFonts w:hint="eastAsia"/>
                                            <w:sz w:val="21"/>
                                            <w:szCs w:val="21"/>
                                          </w:rPr>
                                          <w:t>现场勘查</w:t>
                                        </w:r>
                                      </w:p>
                                    </w:txbxContent>
                                  </wps:txbx>
                                  <wps:bodyPr lIns="0" tIns="0" rIns="0" bIns="0" upright="1"/>
                                </wps:wsp>
                                <wpg:grpSp>
                                  <wpg:cNvPr id="91" name="组合 91"/>
                                  <wpg:cNvGrpSpPr/>
                                  <wpg:grpSpPr>
                                    <a:xfrm>
                                      <a:off x="4095" y="1465"/>
                                      <a:ext cx="4767" cy="13516"/>
                                      <a:chOff x="4095" y="1465"/>
                                      <a:chExt cx="4767" cy="13516"/>
                                    </a:xfrm>
                                  </wpg:grpSpPr>
                                  <wpg:grpSp>
                                    <wpg:cNvPr id="44" name="组合 44"/>
                                    <wpg:cNvGrpSpPr/>
                                    <wpg:grpSpPr>
                                      <a:xfrm>
                                        <a:off x="4095" y="14078"/>
                                        <a:ext cx="4105" cy="903"/>
                                        <a:chOff x="4095" y="14015"/>
                                        <a:chExt cx="4105" cy="903"/>
                                      </a:xfrm>
                                    </wpg:grpSpPr>
                                    <wps:wsp>
                                      <wps:cNvPr id="41" name="文本框 41"/>
                                      <wps:cNvSpPr txBox="1"/>
                                      <wps:spPr>
                                        <a:xfrm>
                                          <a:off x="4095" y="14575"/>
                                          <a:ext cx="410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编制土壤环境污染隐患排查及质量状况报告</w:t>
                                            </w:r>
                                          </w:p>
                                        </w:txbxContent>
                                      </wps:txbx>
                                      <wps:bodyPr lIns="0" tIns="0" rIns="0" bIns="0" upright="1"/>
                                    </wps:wsp>
                                    <wps:wsp>
                                      <wps:cNvPr id="42" name="直接箭头连接符 42"/>
                                      <wps:cNvCnPr/>
                                      <wps:spPr>
                                        <a:xfrm>
                                          <a:off x="6153" y="14361"/>
                                          <a:ext cx="0" cy="231"/>
                                        </a:xfrm>
                                        <a:prstGeom prst="straightConnector1">
                                          <a:avLst/>
                                        </a:prstGeom>
                                        <a:ln w="9525" cap="flat" cmpd="sng">
                                          <a:solidFill>
                                            <a:srgbClr val="000000"/>
                                          </a:solidFill>
                                          <a:prstDash val="solid"/>
                                          <a:headEnd type="none" w="med" len="med"/>
                                          <a:tailEnd type="triangle" w="med" len="med"/>
                                        </a:ln>
                                      </wps:spPr>
                                      <wps:bodyPr/>
                                    </wps:wsp>
                                    <wps:wsp>
                                      <wps:cNvPr id="43" name="文本框 43"/>
                                      <wps:cNvSpPr txBox="1"/>
                                      <wps:spPr>
                                        <a:xfrm>
                                          <a:off x="5480" y="14015"/>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监测结果评估</w:t>
                                            </w:r>
                                          </w:p>
                                        </w:txbxContent>
                                      </wps:txbx>
                                      <wps:bodyPr lIns="0" tIns="0" rIns="0" bIns="0" upright="1"/>
                                    </wps:wsp>
                                  </wpg:grpSp>
                                  <wpg:grpSp>
                                    <wpg:cNvPr id="59" name="组合 59"/>
                                    <wpg:cNvGrpSpPr/>
                                    <wpg:grpSpPr>
                                      <a:xfrm>
                                        <a:off x="5235" y="10652"/>
                                        <a:ext cx="3627" cy="3414"/>
                                        <a:chOff x="5235" y="10652"/>
                                        <a:chExt cx="3627" cy="3414"/>
                                      </a:xfrm>
                                    </wpg:grpSpPr>
                                    <wps:wsp>
                                      <wps:cNvPr id="45" name="直接箭头连接符 45"/>
                                      <wps:cNvCnPr/>
                                      <wps:spPr>
                                        <a:xfrm>
                                          <a:off x="8361" y="10657"/>
                                          <a:ext cx="496" cy="11"/>
                                        </a:xfrm>
                                        <a:prstGeom prst="straightConnector1">
                                          <a:avLst/>
                                        </a:prstGeom>
                                        <a:ln w="9525" cap="flat" cmpd="sng">
                                          <a:solidFill>
                                            <a:srgbClr val="000000"/>
                                          </a:solidFill>
                                          <a:prstDash val="solid"/>
                                          <a:headEnd type="none" w="med" len="med"/>
                                          <a:tailEnd type="none" w="med" len="med"/>
                                        </a:ln>
                                      </wps:spPr>
                                      <wps:bodyPr/>
                                    </wps:wsp>
                                    <wps:wsp>
                                      <wps:cNvPr id="46" name="直接箭头连接符 46"/>
                                      <wps:cNvCnPr/>
                                      <wps:spPr>
                                        <a:xfrm flipH="1">
                                          <a:off x="8861" y="10652"/>
                                          <a:ext cx="1" cy="1890"/>
                                        </a:xfrm>
                                        <a:prstGeom prst="straightConnector1">
                                          <a:avLst/>
                                        </a:prstGeom>
                                        <a:ln w="9525" cap="flat" cmpd="sng">
                                          <a:solidFill>
                                            <a:srgbClr val="000000"/>
                                          </a:solidFill>
                                          <a:prstDash val="solid"/>
                                          <a:headEnd type="none" w="med" len="med"/>
                                          <a:tailEnd type="none" w="med" len="med"/>
                                        </a:ln>
                                      </wps:spPr>
                                      <wps:bodyPr/>
                                    </wps:wsp>
                                    <wps:wsp>
                                      <wps:cNvPr id="47" name="文本框 47"/>
                                      <wps:cNvSpPr txBox="1"/>
                                      <wps:spPr>
                                        <a:xfrm>
                                          <a:off x="5235" y="11266"/>
                                          <a:ext cx="1760"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地下水采样井建设</w:t>
                                            </w:r>
                                          </w:p>
                                        </w:txbxContent>
                                      </wps:txbx>
                                      <wps:bodyPr lIns="0" tIns="0" rIns="0" bIns="0" upright="1"/>
                                    </wps:wsp>
                                    <wps:wsp>
                                      <wps:cNvPr id="48" name="直接箭头连接符 48"/>
                                      <wps:cNvCnPr/>
                                      <wps:spPr>
                                        <a:xfrm>
                                          <a:off x="6119" y="11074"/>
                                          <a:ext cx="0" cy="231"/>
                                        </a:xfrm>
                                        <a:prstGeom prst="straightConnector1">
                                          <a:avLst/>
                                        </a:prstGeom>
                                        <a:ln w="9525" cap="flat" cmpd="sng">
                                          <a:solidFill>
                                            <a:srgbClr val="000000"/>
                                          </a:solidFill>
                                          <a:prstDash val="solid"/>
                                          <a:headEnd type="none" w="med" len="med"/>
                                          <a:tailEnd type="triangle" w="med" len="med"/>
                                        </a:ln>
                                      </wps:spPr>
                                      <wps:bodyPr/>
                                    </wps:wsp>
                                    <wps:wsp>
                                      <wps:cNvPr id="49" name="直接箭头连接符 49"/>
                                      <wps:cNvCnPr/>
                                      <wps:spPr>
                                        <a:xfrm>
                                          <a:off x="6144" y="13835"/>
                                          <a:ext cx="0" cy="231"/>
                                        </a:xfrm>
                                        <a:prstGeom prst="straightConnector1">
                                          <a:avLst/>
                                        </a:prstGeom>
                                        <a:ln w="9525" cap="flat" cmpd="sng">
                                          <a:solidFill>
                                            <a:srgbClr val="000000"/>
                                          </a:solidFill>
                                          <a:prstDash val="solid"/>
                                          <a:headEnd type="none" w="med" len="med"/>
                                          <a:tailEnd type="triangle" w="med" len="med"/>
                                        </a:ln>
                                      </wps:spPr>
                                      <wps:bodyPr/>
                                    </wps:wsp>
                                    <wps:wsp>
                                      <wps:cNvPr id="50" name="直接箭头连接符 50"/>
                                      <wps:cNvCnPr/>
                                      <wps:spPr>
                                        <a:xfrm flipH="1">
                                          <a:off x="6819" y="12543"/>
                                          <a:ext cx="2042" cy="9"/>
                                        </a:xfrm>
                                        <a:prstGeom prst="straightConnector1">
                                          <a:avLst/>
                                        </a:prstGeom>
                                        <a:ln w="9525" cap="flat" cmpd="sng">
                                          <a:solidFill>
                                            <a:srgbClr val="000000"/>
                                          </a:solidFill>
                                          <a:prstDash val="solid"/>
                                          <a:headEnd type="none" w="med" len="med"/>
                                          <a:tailEnd type="triangle" w="med" len="med"/>
                                        </a:ln>
                                      </wps:spPr>
                                      <wps:bodyPr/>
                                    </wps:wsp>
                                    <wps:wsp>
                                      <wps:cNvPr id="51" name="文本框 51"/>
                                      <wps:cNvSpPr txBox="1"/>
                                      <wps:spPr>
                                        <a:xfrm>
                                          <a:off x="5471" y="13489"/>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样品检测分析</w:t>
                                            </w:r>
                                          </w:p>
                                        </w:txbxContent>
                                      </wps:txbx>
                                      <wps:bodyPr lIns="0" tIns="0" rIns="0" bIns="0" upright="1"/>
                                    </wps:wsp>
                                    <wps:wsp>
                                      <wps:cNvPr id="52" name="直接箭头连接符 52"/>
                                      <wps:cNvCnPr/>
                                      <wps:spPr>
                                        <a:xfrm>
                                          <a:off x="6135" y="13280"/>
                                          <a:ext cx="0" cy="231"/>
                                        </a:xfrm>
                                        <a:prstGeom prst="straightConnector1">
                                          <a:avLst/>
                                        </a:prstGeom>
                                        <a:ln w="9525" cap="flat" cmpd="sng">
                                          <a:solidFill>
                                            <a:srgbClr val="000000"/>
                                          </a:solidFill>
                                          <a:prstDash val="solid"/>
                                          <a:headEnd type="none" w="med" len="med"/>
                                          <a:tailEnd type="triangle" w="med" len="med"/>
                                        </a:ln>
                                      </wps:spPr>
                                      <wps:bodyPr/>
                                    </wps:wsp>
                                    <wps:wsp>
                                      <wps:cNvPr id="53" name="文本框 53"/>
                                      <wps:cNvSpPr txBox="1"/>
                                      <wps:spPr>
                                        <a:xfrm>
                                          <a:off x="5468" y="12943"/>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样品流转</w:t>
                                            </w:r>
                                          </w:p>
                                        </w:txbxContent>
                                      </wps:txbx>
                                      <wps:bodyPr lIns="0" tIns="0" rIns="0" bIns="0" upright="1"/>
                                    </wps:wsp>
                                    <wps:wsp>
                                      <wps:cNvPr id="54" name="直接箭头连接符 54"/>
                                      <wps:cNvCnPr/>
                                      <wps:spPr>
                                        <a:xfrm>
                                          <a:off x="6136" y="12718"/>
                                          <a:ext cx="0" cy="231"/>
                                        </a:xfrm>
                                        <a:prstGeom prst="straightConnector1">
                                          <a:avLst/>
                                        </a:prstGeom>
                                        <a:ln w="9525" cap="flat" cmpd="sng">
                                          <a:solidFill>
                                            <a:srgbClr val="000000"/>
                                          </a:solidFill>
                                          <a:prstDash val="solid"/>
                                          <a:headEnd type="none" w="med" len="med"/>
                                          <a:tailEnd type="triangle" w="med" len="med"/>
                                        </a:ln>
                                      </wps:spPr>
                                      <wps:bodyPr/>
                                    </wps:wsp>
                                    <wps:wsp>
                                      <wps:cNvPr id="55" name="文本框 55"/>
                                      <wps:cNvSpPr txBox="1"/>
                                      <wps:spPr>
                                        <a:xfrm>
                                          <a:off x="5468" y="12377"/>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样品保存</w:t>
                                            </w:r>
                                          </w:p>
                                        </w:txbxContent>
                                      </wps:txbx>
                                      <wps:bodyPr lIns="0" tIns="0" rIns="0" bIns="0" upright="1"/>
                                    </wps:wsp>
                                    <wps:wsp>
                                      <wps:cNvPr id="56" name="直接箭头连接符 56"/>
                                      <wps:cNvCnPr/>
                                      <wps:spPr>
                                        <a:xfrm>
                                          <a:off x="6135" y="12157"/>
                                          <a:ext cx="0" cy="231"/>
                                        </a:xfrm>
                                        <a:prstGeom prst="straightConnector1">
                                          <a:avLst/>
                                        </a:prstGeom>
                                        <a:ln w="9525" cap="flat" cmpd="sng">
                                          <a:solidFill>
                                            <a:srgbClr val="000000"/>
                                          </a:solidFill>
                                          <a:prstDash val="solid"/>
                                          <a:headEnd type="none" w="med" len="med"/>
                                          <a:tailEnd type="triangle" w="med" len="med"/>
                                        </a:ln>
                                      </wps:spPr>
                                      <wps:bodyPr/>
                                    </wps:wsp>
                                    <wps:wsp>
                                      <wps:cNvPr id="57" name="文本框 57"/>
                                      <wps:cNvSpPr txBox="1"/>
                                      <wps:spPr>
                                        <a:xfrm>
                                          <a:off x="5244" y="11814"/>
                                          <a:ext cx="1760"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地下水样品采集</w:t>
                                            </w:r>
                                          </w:p>
                                        </w:txbxContent>
                                      </wps:txbx>
                                      <wps:bodyPr lIns="0" tIns="0" rIns="0" bIns="0" upright="1"/>
                                    </wps:wsp>
                                    <wps:wsp>
                                      <wps:cNvPr id="58" name="直接箭头连接符 58"/>
                                      <wps:cNvCnPr/>
                                      <wps:spPr>
                                        <a:xfrm>
                                          <a:off x="6128" y="11589"/>
                                          <a:ext cx="0" cy="231"/>
                                        </a:xfrm>
                                        <a:prstGeom prst="straightConnector1">
                                          <a:avLst/>
                                        </a:prstGeom>
                                        <a:ln w="9525" cap="flat" cmpd="sng">
                                          <a:solidFill>
                                            <a:srgbClr val="000000"/>
                                          </a:solidFill>
                                          <a:prstDash val="solid"/>
                                          <a:headEnd type="none" w="med" len="med"/>
                                          <a:tailEnd type="triangle" w="med" len="med"/>
                                        </a:ln>
                                      </wps:spPr>
                                      <wps:bodyPr/>
                                    </wps:wsp>
                                  </wpg:grpSp>
                                  <wpg:grpSp>
                                    <wpg:cNvPr id="90" name="组合 90"/>
                                    <wpg:cNvGrpSpPr/>
                                    <wpg:grpSpPr>
                                      <a:xfrm>
                                        <a:off x="4252" y="1465"/>
                                        <a:ext cx="3733" cy="8849"/>
                                        <a:chOff x="4252" y="1465"/>
                                        <a:chExt cx="3733" cy="8849"/>
                                      </a:xfrm>
                                    </wpg:grpSpPr>
                                    <wpg:grpSp>
                                      <wpg:cNvPr id="76" name="组合 76"/>
                                      <wpg:cNvGrpSpPr/>
                                      <wpg:grpSpPr>
                                        <a:xfrm>
                                          <a:off x="4252" y="5829"/>
                                          <a:ext cx="3733" cy="4485"/>
                                          <a:chOff x="4252" y="5829"/>
                                          <a:chExt cx="3733" cy="4485"/>
                                        </a:xfrm>
                                      </wpg:grpSpPr>
                                      <wps:wsp>
                                        <wps:cNvPr id="60" name="文本框 60"/>
                                        <wps:cNvSpPr txBox="1"/>
                                        <wps:spPr>
                                          <a:xfrm>
                                            <a:off x="4252" y="5829"/>
                                            <a:ext cx="373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污染隐患排查，疑似污染区域识别</w:t>
                                              </w:r>
                                            </w:p>
                                          </w:txbxContent>
                                        </wps:txbx>
                                        <wps:bodyPr lIns="0" tIns="0" rIns="0" bIns="0" upright="1"/>
                                      </wps:wsp>
                                      <wps:wsp>
                                        <wps:cNvPr id="61" name="文本框 61"/>
                                        <wps:cNvSpPr txBox="1"/>
                                        <wps:spPr>
                                          <a:xfrm>
                                            <a:off x="5421" y="6390"/>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筛选布点区域</w:t>
                                              </w:r>
                                            </w:p>
                                          </w:txbxContent>
                                        </wps:txbx>
                                        <wps:bodyPr lIns="0" tIns="0" rIns="0" bIns="0" upright="1"/>
                                      </wps:wsp>
                                      <wps:wsp>
                                        <wps:cNvPr id="62" name="直接箭头连接符 62"/>
                                        <wps:cNvCnPr/>
                                        <wps:spPr>
                                          <a:xfrm>
                                            <a:off x="6097" y="6167"/>
                                            <a:ext cx="0" cy="231"/>
                                          </a:xfrm>
                                          <a:prstGeom prst="straightConnector1">
                                            <a:avLst/>
                                          </a:prstGeom>
                                          <a:ln w="9525" cap="flat" cmpd="sng">
                                            <a:solidFill>
                                              <a:srgbClr val="000000"/>
                                            </a:solidFill>
                                            <a:prstDash val="solid"/>
                                            <a:headEnd type="none" w="med" len="med"/>
                                            <a:tailEnd type="triangle" w="med" len="med"/>
                                          </a:ln>
                                        </wps:spPr>
                                        <wps:bodyPr/>
                                      </wps:wsp>
                                      <wps:wsp>
                                        <wps:cNvPr id="63" name="文本框 63"/>
                                        <wps:cNvSpPr txBox="1"/>
                                        <wps:spPr>
                                          <a:xfrm>
                                            <a:off x="5419" y="6960"/>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制定布点计划</w:t>
                                              </w:r>
                                            </w:p>
                                          </w:txbxContent>
                                        </wps:txbx>
                                        <wps:bodyPr lIns="0" tIns="0" rIns="0" bIns="0" upright="1"/>
                                      </wps:wsp>
                                      <wps:wsp>
                                        <wps:cNvPr id="64" name="直接箭头连接符 64"/>
                                        <wps:cNvCnPr/>
                                        <wps:spPr>
                                          <a:xfrm>
                                            <a:off x="6085" y="6739"/>
                                            <a:ext cx="0" cy="231"/>
                                          </a:xfrm>
                                          <a:prstGeom prst="straightConnector1">
                                            <a:avLst/>
                                          </a:prstGeom>
                                          <a:ln w="9525" cap="flat" cmpd="sng">
                                            <a:solidFill>
                                              <a:srgbClr val="000000"/>
                                            </a:solidFill>
                                            <a:prstDash val="solid"/>
                                            <a:headEnd type="none" w="med" len="med"/>
                                            <a:tailEnd type="triangle" w="med" len="med"/>
                                          </a:ln>
                                        </wps:spPr>
                                        <wps:bodyPr/>
                                      </wps:wsp>
                                      <wps:wsp>
                                        <wps:cNvPr id="65" name="直接箭头连接符 65"/>
                                        <wps:cNvCnPr/>
                                        <wps:spPr>
                                          <a:xfrm>
                                            <a:off x="6083" y="7290"/>
                                            <a:ext cx="0" cy="231"/>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66"/>
                                        <wps:cNvCnPr/>
                                        <wps:spPr>
                                          <a:xfrm>
                                            <a:off x="6105" y="7826"/>
                                            <a:ext cx="0" cy="231"/>
                                          </a:xfrm>
                                          <a:prstGeom prst="straightConnector1">
                                            <a:avLst/>
                                          </a:prstGeom>
                                          <a:ln w="9525" cap="flat" cmpd="sng">
                                            <a:solidFill>
                                              <a:srgbClr val="000000"/>
                                            </a:solidFill>
                                            <a:prstDash val="solid"/>
                                            <a:headEnd type="none" w="med" len="med"/>
                                            <a:tailEnd type="triangle" w="med" len="med"/>
                                          </a:ln>
                                        </wps:spPr>
                                        <wps:bodyPr/>
                                      </wps:wsp>
                                      <wps:wsp>
                                        <wps:cNvPr id="67" name="文本框 67"/>
                                        <wps:cNvSpPr txBox="1"/>
                                        <wps:spPr>
                                          <a:xfrm>
                                            <a:off x="5331" y="7504"/>
                                            <a:ext cx="149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采样点现场确定</w:t>
                                              </w:r>
                                            </w:p>
                                          </w:txbxContent>
                                        </wps:txbx>
                                        <wps:bodyPr lIns="0" tIns="0" rIns="0" bIns="0" upright="1"/>
                                      </wps:wsp>
                                      <wps:wsp>
                                        <wps:cNvPr id="68" name="直接箭头连接符 68"/>
                                        <wps:cNvCnPr/>
                                        <wps:spPr>
                                          <a:xfrm>
                                            <a:off x="6102" y="8395"/>
                                            <a:ext cx="0" cy="231"/>
                                          </a:xfrm>
                                          <a:prstGeom prst="straightConnector1">
                                            <a:avLst/>
                                          </a:prstGeom>
                                          <a:ln w="9525" cap="flat" cmpd="sng">
                                            <a:solidFill>
                                              <a:srgbClr val="000000"/>
                                            </a:solidFill>
                                            <a:prstDash val="solid"/>
                                            <a:headEnd type="none" w="med" len="med"/>
                                            <a:tailEnd type="triangle" w="med" len="med"/>
                                          </a:ln>
                                        </wps:spPr>
                                        <wps:bodyPr/>
                                      </wps:wsp>
                                      <wps:wsp>
                                        <wps:cNvPr id="69" name="文本框 69"/>
                                        <wps:cNvSpPr txBox="1"/>
                                        <wps:spPr>
                                          <a:xfrm>
                                            <a:off x="5430" y="8049"/>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编制布点方案</w:t>
                                              </w:r>
                                            </w:p>
                                          </w:txbxContent>
                                        </wps:txbx>
                                        <wps:bodyPr lIns="0" tIns="0" rIns="0" bIns="0" upright="1"/>
                                      </wps:wsp>
                                      <wps:wsp>
                                        <wps:cNvPr id="70" name="文本框 70"/>
                                        <wps:cNvSpPr txBox="1"/>
                                        <wps:spPr>
                                          <a:xfrm>
                                            <a:off x="5055" y="8599"/>
                                            <a:ext cx="210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采样方案与采样准备</w:t>
                                              </w:r>
                                            </w:p>
                                          </w:txbxContent>
                                        </wps:txbx>
                                        <wps:bodyPr lIns="0" tIns="0" rIns="0" bIns="0" upright="1"/>
                                      </wps:wsp>
                                      <wps:wsp>
                                        <wps:cNvPr id="71" name="文本框 71"/>
                                        <wps:cNvSpPr txBox="1"/>
                                        <wps:spPr>
                                          <a:xfrm>
                                            <a:off x="5449" y="9172"/>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土孔钻探</w:t>
                                              </w:r>
                                            </w:p>
                                          </w:txbxContent>
                                        </wps:txbx>
                                        <wps:bodyPr lIns="0" tIns="0" rIns="0" bIns="0" upright="1"/>
                                      </wps:wsp>
                                      <wps:wsp>
                                        <wps:cNvPr id="72" name="直接箭头连接符 72"/>
                                        <wps:cNvCnPr/>
                                        <wps:spPr>
                                          <a:xfrm>
                                            <a:off x="6112" y="8946"/>
                                            <a:ext cx="0" cy="231"/>
                                          </a:xfrm>
                                          <a:prstGeom prst="straightConnector1">
                                            <a:avLst/>
                                          </a:prstGeom>
                                          <a:ln w="9525" cap="flat" cmpd="sng">
                                            <a:solidFill>
                                              <a:srgbClr val="000000"/>
                                            </a:solidFill>
                                            <a:prstDash val="solid"/>
                                            <a:headEnd type="none" w="med" len="med"/>
                                            <a:tailEnd type="triangle" w="med" len="med"/>
                                          </a:ln>
                                        </wps:spPr>
                                        <wps:bodyPr/>
                                      </wps:wsp>
                                      <wps:wsp>
                                        <wps:cNvPr id="73" name="文本框 73"/>
                                        <wps:cNvSpPr txBox="1"/>
                                        <wps:spPr>
                                          <a:xfrm>
                                            <a:off x="5431" y="9742"/>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土壤样品采集</w:t>
                                              </w:r>
                                            </w:p>
                                          </w:txbxContent>
                                        </wps:txbx>
                                        <wps:bodyPr lIns="0" tIns="0" rIns="0" bIns="0" upright="1"/>
                                      </wps:wsp>
                                      <wps:wsp>
                                        <wps:cNvPr id="74" name="直接箭头连接符 74"/>
                                        <wps:cNvCnPr/>
                                        <wps:spPr>
                                          <a:xfrm>
                                            <a:off x="6111" y="9525"/>
                                            <a:ext cx="0" cy="231"/>
                                          </a:xfrm>
                                          <a:prstGeom prst="straightConnector1">
                                            <a:avLst/>
                                          </a:prstGeom>
                                          <a:ln w="9525" cap="flat" cmpd="sng">
                                            <a:solidFill>
                                              <a:srgbClr val="000000"/>
                                            </a:solidFill>
                                            <a:prstDash val="solid"/>
                                            <a:headEnd type="none" w="med" len="med"/>
                                            <a:tailEnd type="triangle" w="med" len="med"/>
                                          </a:ln>
                                        </wps:spPr>
                                        <wps:bodyPr/>
                                      </wps:wsp>
                                      <wps:wsp>
                                        <wps:cNvPr id="75" name="直接箭头连接符 75"/>
                                        <wps:cNvCnPr/>
                                        <wps:spPr>
                                          <a:xfrm>
                                            <a:off x="6120" y="10083"/>
                                            <a:ext cx="0" cy="231"/>
                                          </a:xfrm>
                                          <a:prstGeom prst="straightConnector1">
                                            <a:avLst/>
                                          </a:prstGeom>
                                          <a:ln w="9525" cap="flat" cmpd="sng">
                                            <a:solidFill>
                                              <a:srgbClr val="000000"/>
                                            </a:solidFill>
                                            <a:prstDash val="solid"/>
                                            <a:headEnd type="none" w="med" len="med"/>
                                            <a:tailEnd type="triangle" w="med" len="med"/>
                                          </a:ln>
                                        </wps:spPr>
                                        <wps:bodyPr/>
                                      </wps:wsp>
                                    </wpg:grpSp>
                                    <wpg:grpSp>
                                      <wpg:cNvPr id="89" name="组合 89"/>
                                      <wpg:cNvGrpSpPr/>
                                      <wpg:grpSpPr>
                                        <a:xfrm>
                                          <a:off x="5319" y="1465"/>
                                          <a:ext cx="1523" cy="4389"/>
                                          <a:chOff x="5319" y="1465"/>
                                          <a:chExt cx="1523" cy="4389"/>
                                        </a:xfrm>
                                      </wpg:grpSpPr>
                                      <wps:wsp>
                                        <wps:cNvPr id="77" name="文本框 77"/>
                                        <wps:cNvSpPr txBox="1"/>
                                        <wps:spPr>
                                          <a:xfrm>
                                            <a:off x="5366" y="2583"/>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基本信息核实</w:t>
                                              </w:r>
                                            </w:p>
                                          </w:txbxContent>
                                        </wps:txbx>
                                        <wps:bodyPr lIns="0" tIns="0" rIns="0" bIns="0" upright="1"/>
                                      </wps:wsp>
                                      <wps:wsp>
                                        <wps:cNvPr id="78" name="直接箭头连接符 78"/>
                                        <wps:cNvCnPr/>
                                        <wps:spPr>
                                          <a:xfrm>
                                            <a:off x="6040" y="2375"/>
                                            <a:ext cx="0" cy="231"/>
                                          </a:xfrm>
                                          <a:prstGeom prst="straightConnector1">
                                            <a:avLst/>
                                          </a:prstGeom>
                                          <a:ln w="9525" cap="flat" cmpd="sng">
                                            <a:solidFill>
                                              <a:srgbClr val="000000"/>
                                            </a:solidFill>
                                            <a:prstDash val="solid"/>
                                            <a:headEnd type="none" w="med" len="med"/>
                                            <a:tailEnd type="triangle" w="med" len="med"/>
                                          </a:ln>
                                        </wps:spPr>
                                        <wps:bodyPr/>
                                      </wps:wsp>
                                      <wps:wsp>
                                        <wps:cNvPr id="79" name="直接箭头连接符 79"/>
                                        <wps:cNvCnPr/>
                                        <wps:spPr>
                                          <a:xfrm>
                                            <a:off x="6058" y="3471"/>
                                            <a:ext cx="0" cy="231"/>
                                          </a:xfrm>
                                          <a:prstGeom prst="straightConnector1">
                                            <a:avLst/>
                                          </a:prstGeom>
                                          <a:ln w="9525" cap="flat" cmpd="sng">
                                            <a:solidFill>
                                              <a:srgbClr val="000000"/>
                                            </a:solidFill>
                                            <a:prstDash val="solid"/>
                                            <a:headEnd type="none" w="med" len="med"/>
                                            <a:tailEnd type="triangle" w="med" len="med"/>
                                          </a:ln>
                                        </wps:spPr>
                                        <wps:bodyPr/>
                                      </wps:wsp>
                                      <wps:wsp>
                                        <wps:cNvPr id="80" name="文本框 80"/>
                                        <wps:cNvSpPr txBox="1"/>
                                        <wps:spPr>
                                          <a:xfrm>
                                            <a:off x="5334" y="1465"/>
                                            <a:ext cx="1345" cy="352"/>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确定调查对象</w:t>
                                              </w:r>
                                            </w:p>
                                          </w:txbxContent>
                                        </wps:txbx>
                                        <wps:bodyPr lIns="0" tIns="0" rIns="0" bIns="0" upright="1"/>
                                      </wps:wsp>
                                      <wps:wsp>
                                        <wps:cNvPr id="81" name="直接箭头连接符 81"/>
                                        <wps:cNvCnPr/>
                                        <wps:spPr>
                                          <a:xfrm>
                                            <a:off x="6042" y="1805"/>
                                            <a:ext cx="0" cy="231"/>
                                          </a:xfrm>
                                          <a:prstGeom prst="straightConnector1">
                                            <a:avLst/>
                                          </a:prstGeom>
                                          <a:ln w="9525" cap="flat" cmpd="sng">
                                            <a:solidFill>
                                              <a:srgbClr val="000000"/>
                                            </a:solidFill>
                                            <a:prstDash val="solid"/>
                                            <a:headEnd type="none" w="med" len="med"/>
                                            <a:tailEnd type="triangle" w="med" len="med"/>
                                          </a:ln>
                                        </wps:spPr>
                                        <wps:bodyPr/>
                                      </wps:wsp>
                                      <wps:wsp>
                                        <wps:cNvPr id="82" name="文本框 82"/>
                                        <wps:cNvSpPr txBox="1"/>
                                        <wps:spPr>
                                          <a:xfrm>
                                            <a:off x="5394" y="2025"/>
                                            <a:ext cx="125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工作准备</w:t>
                                              </w:r>
                                            </w:p>
                                          </w:txbxContent>
                                        </wps:txbx>
                                        <wps:bodyPr lIns="0" tIns="0" rIns="0" bIns="0" upright="1"/>
                                      </wps:wsp>
                                      <wps:wsp>
                                        <wps:cNvPr id="83" name="直接箭头连接符 83"/>
                                        <wps:cNvCnPr/>
                                        <wps:spPr>
                                          <a:xfrm>
                                            <a:off x="6049" y="2923"/>
                                            <a:ext cx="0" cy="231"/>
                                          </a:xfrm>
                                          <a:prstGeom prst="straightConnector1">
                                            <a:avLst/>
                                          </a:prstGeom>
                                          <a:ln w="9525" cap="flat" cmpd="sng">
                                            <a:solidFill>
                                              <a:srgbClr val="000000"/>
                                            </a:solidFill>
                                            <a:prstDash val="solid"/>
                                            <a:headEnd type="none" w="med" len="med"/>
                                            <a:tailEnd type="triangle" w="med" len="med"/>
                                          </a:ln>
                                        </wps:spPr>
                                        <wps:bodyPr/>
                                      </wps:wsp>
                                      <wps:wsp>
                                        <wps:cNvPr id="84" name="文本框 84"/>
                                        <wps:cNvSpPr txBox="1"/>
                                        <wps:spPr>
                                          <a:xfrm>
                                            <a:off x="5413" y="3135"/>
                                            <a:ext cx="125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资料收集</w:t>
                                              </w:r>
                                            </w:p>
                                          </w:txbxContent>
                                        </wps:txbx>
                                        <wps:bodyPr lIns="0" tIns="0" rIns="0" bIns="0" upright="1"/>
                                      </wps:wsp>
                                      <wps:wsp>
                                        <wps:cNvPr id="85" name="直接箭头连接符 85"/>
                                        <wps:cNvCnPr/>
                                        <wps:spPr>
                                          <a:xfrm>
                                            <a:off x="6100" y="5053"/>
                                            <a:ext cx="0" cy="231"/>
                                          </a:xfrm>
                                          <a:prstGeom prst="straightConnector1">
                                            <a:avLst/>
                                          </a:prstGeom>
                                          <a:ln w="9525" cap="flat" cmpd="sng">
                                            <a:solidFill>
                                              <a:srgbClr val="000000"/>
                                            </a:solidFill>
                                            <a:prstDash val="solid"/>
                                            <a:headEnd type="none" w="med" len="med"/>
                                            <a:tailEnd type="triangle" w="med" len="med"/>
                                          </a:ln>
                                        </wps:spPr>
                                        <wps:bodyPr/>
                                      </wps:wsp>
                                      <wps:wsp>
                                        <wps:cNvPr id="86" name="文本框 86"/>
                                        <wps:cNvSpPr txBox="1"/>
                                        <wps:spPr>
                                          <a:xfrm>
                                            <a:off x="5336" y="5284"/>
                                            <a:ext cx="1506"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信息整理与填报</w:t>
                                              </w:r>
                                            </w:p>
                                          </w:txbxContent>
                                        </wps:txbx>
                                        <wps:bodyPr lIns="0" tIns="0" rIns="0" bIns="0" upright="1"/>
                                      </wps:wsp>
                                      <wps:wsp>
                                        <wps:cNvPr id="87" name="直接箭头连接符 87"/>
                                        <wps:cNvCnPr/>
                                        <wps:spPr>
                                          <a:xfrm>
                                            <a:off x="6098" y="5623"/>
                                            <a:ext cx="0" cy="231"/>
                                          </a:xfrm>
                                          <a:prstGeom prst="straightConnector1">
                                            <a:avLst/>
                                          </a:prstGeom>
                                          <a:ln w="9525" cap="flat" cmpd="sng">
                                            <a:solidFill>
                                              <a:srgbClr val="000000"/>
                                            </a:solidFill>
                                            <a:prstDash val="solid"/>
                                            <a:headEnd type="none" w="med" len="med"/>
                                            <a:tailEnd type="triangle" w="med" len="med"/>
                                          </a:ln>
                                        </wps:spPr>
                                        <wps:bodyPr/>
                                      </wps:wsp>
                                      <wps:wsp>
                                        <wps:cNvPr id="88" name="矩形 88"/>
                                        <wps:cNvSpPr/>
                                        <wps:spPr>
                                          <a:xfrm>
                                            <a:off x="5319" y="3691"/>
                                            <a:ext cx="1488" cy="1350"/>
                                          </a:xfrm>
                                          <a:prstGeom prst="rect">
                                            <a:avLst/>
                                          </a:prstGeom>
                                          <a:noFill/>
                                          <a:ln w="6350" cap="flat" cmpd="sng">
                                            <a:solidFill>
                                              <a:srgbClr val="000000"/>
                                            </a:solidFill>
                                            <a:prstDash val="solid"/>
                                            <a:miter/>
                                            <a:headEnd type="none" w="med" len="med"/>
                                            <a:tailEnd type="none" w="med" len="med"/>
                                          </a:ln>
                                        </wps:spPr>
                                        <wps:bodyPr anchor="ctr" upright="1"/>
                                      </wps:wsp>
                                    </wpg:grpSp>
                                  </wpg:grpSp>
                                </wpg:grpSp>
                              </wpg:grpSp>
                            </wpg:grpSp>
                          </wpg:grpSp>
                        </wpg:grpSp>
                      </wpg:grpSp>
                    </wpg:wgp>
                  </a:graphicData>
                </a:graphic>
              </wp:inline>
            </w:drawing>
          </mc:Choice>
          <mc:Fallback>
            <w:pict>
              <v:group id="_x0000_s1026" o:spid="_x0000_s1026" o:spt="203" style="height:663.85pt;width:248pt;" coordorigin="3902,1465" coordsize="4960,13516" o:gfxdata="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">
                <o:lock v:ext="edit" rotation="t" aspectratio="f"/>
                <v:shape id="_x0000_s1026" o:spid="_x0000_s1026" o:spt="202" type="#_x0000_t202" style="position:absolute;left:6181;top:10994;height:390;width:431;"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是</w:t>
                        </w:r>
                      </w:p>
                    </w:txbxContent>
                  </v:textbox>
                </v:shape>
                <v:group id="_x0000_s1026" o:spid="_x0000_s1026" o:spt="203" style="position:absolute;left:3902;top:1465;height:13516;width:4960;" coordorigin="3902,1465" coordsize="4960,1351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89;top:10346;height:390;width:431;"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否</w:t>
                          </w:r>
                        </w:p>
                      </w:txbxContent>
                    </v:textbox>
                  </v:shape>
                  <v:group id="_x0000_s1026" o:spid="_x0000_s1026" o:spt="203" style="position:absolute;left:3902;top:1465;height:13516;width:4960;" coordorigin="3902,1465" coordsize="4960,13516"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_x0000_s1026" o:spid="_x0000_s1026" o:spt="110" type="#_x0000_t110" style="position:absolute;left:3902;top:10258;height:794;width:4452;" fillcolor="#FFFFFF" filled="t" stroked="t" coordsize="21600,21600" o:gfxdata="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8Hql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是否需要地下水采样</w:t>
                            </w:r>
                          </w:p>
                        </w:txbxContent>
                      </v:textbox>
                    </v:shape>
                    <v:group id="_x0000_s1026" o:spid="_x0000_s1026" o:spt="203" style="position:absolute;left:4095;top:1465;height:13516;width:4767;" coordorigin="4095,1465" coordsize="4767,1351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242;top:4015;height:1016;width:564;" fillcolor="#FFFFFF" filled="t" stroked="f" coordsize="21600,21600" o:gfxdata="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fE9G5AAAA2wAA&#10;AA8AAAAAAAAAAQAgAAAAIgAAAGRycy9kb3ducmV2LnhtbFBLAQIUABQAAAAIAIdO4kAzLwWeOwAA&#10;ADkAAAAQAAAAAAAAAAEAIAAAAAgBAABkcnMvc2hhcGV4bWwueG1sUEsFBgAAAAAGAAYAWwEAALID&#10;AAAAAA==&#10;">
                        <v:fill on="t" focussize="0,0"/>
                        <v:stroke on="f" weight="0.5pt"/>
                        <v:imagedata o:title=""/>
                        <o:lock v:ext="edit" aspectratio="f"/>
                        <v:textbox style="layout-flow:vertical-ideographic;">
                          <w:txbxContent>
                            <w:p>
                              <w:pPr>
                                <w:spacing w:line="240" w:lineRule="auto"/>
                                <w:ind w:firstLine="0" w:firstLineChars="0"/>
                                <w:rPr>
                                  <w:sz w:val="21"/>
                                  <w:szCs w:val="21"/>
                                </w:rPr>
                              </w:pPr>
                              <w:r>
                                <w:rPr>
                                  <w:rFonts w:hint="eastAsia"/>
                                  <w:sz w:val="21"/>
                                  <w:szCs w:val="21"/>
                                </w:rPr>
                                <w:t>人员访谈</w:t>
                              </w:r>
                            </w:p>
                          </w:txbxContent>
                        </v:textbox>
                      </v:shape>
                      <v:group id="_x0000_s1026" o:spid="_x0000_s1026" o:spt="203" style="position:absolute;left:4095;top:1465;height:13516;width:4767;" coordorigin="4095,1465" coordsize="4767,13516"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351;top:4028;height:1016;width:564;" fillcolor="#FFFFFF" filled="t" stroked="f" coordsize="21600,21600" o:gfxdata="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7ZK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pPr>
                                  <w:spacing w:line="240" w:lineRule="auto"/>
                                  <w:ind w:firstLine="0" w:firstLineChars="0"/>
                                  <w:rPr>
                                    <w:sz w:val="21"/>
                                    <w:szCs w:val="21"/>
                                  </w:rPr>
                                </w:pPr>
                                <w:r>
                                  <w:rPr>
                                    <w:rFonts w:hint="eastAsia"/>
                                    <w:sz w:val="21"/>
                                    <w:szCs w:val="21"/>
                                  </w:rPr>
                                  <w:t>现场踏勘</w:t>
                                </w:r>
                              </w:p>
                            </w:txbxContent>
                          </v:textbox>
                        </v:shape>
                        <v:group id="_x0000_s1026" o:spid="_x0000_s1026" o:spt="203" style="position:absolute;left:4095;top:1465;height:13516;width:4767;" coordorigin="4095,1465" coordsize="4767,13516"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433;top:3727;height:343;width:1253;" fillcolor="#FFFFFF" filled="t" stroked="f" coordsize="21600,21600" o:gfxdata="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w+qLO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spacing w:line="240" w:lineRule="auto"/>
                                    <w:ind w:firstLine="0" w:firstLineChars="0"/>
                                    <w:jc w:val="center"/>
                                    <w:rPr>
                                      <w:sz w:val="21"/>
                                      <w:szCs w:val="21"/>
                                    </w:rPr>
                                  </w:pPr>
                                  <w:r>
                                    <w:rPr>
                                      <w:rFonts w:hint="eastAsia"/>
                                      <w:sz w:val="21"/>
                                      <w:szCs w:val="21"/>
                                    </w:rPr>
                                    <w:t>现场勘查</w:t>
                                  </w:r>
                                </w:p>
                              </w:txbxContent>
                            </v:textbox>
                          </v:shape>
                          <v:group id="_x0000_s1026" o:spid="_x0000_s1026" o:spt="203" style="position:absolute;left:4095;top:1465;height:13516;width:4767;" coordorigin="4095,1465" coordsize="4767,13516"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4095;top:14078;height:903;width:4105;" coordorigin="4095,14015" coordsize="4105,903"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095;top:14575;height:343;width:4105;" fillcolor="#FFFFFF" filled="t" stroked="t" coordsize="21600,21600" o:gfxdata="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2Ki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编制土壤环境污染隐患排查及质量状况报告</w:t>
                                      </w:r>
                                    </w:p>
                                  </w:txbxContent>
                                </v:textbox>
                              </v:shape>
                              <v:shape id="_x0000_s1026" o:spid="_x0000_s1026" o:spt="32" type="#_x0000_t32" style="position:absolute;left:6153;top:14361;height:231;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80;top:14015;height:343;width:1345;" fillcolor="#FFFFFF" filled="t" stroked="t" coordsize="21600,21600" o:gfxdata="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OxZ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监测结果评估</w:t>
                                      </w:r>
                                    </w:p>
                                  </w:txbxContent>
                                </v:textbox>
                              </v:shape>
                            </v:group>
                            <v:group id="_x0000_s1026" o:spid="_x0000_s1026" o:spt="203" style="position:absolute;left:5235;top:10652;height:3414;width:3627;" coordorigin="5235,10652" coordsize="3627,3414"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361;top:10657;height:11;width:496;" filled="f" stroked="t" coordsize="21600,21600" o:gfxdata="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Fr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861;top:10652;flip:x;height:1890;width:1;" filled="f" stroked="t" coordsize="21600,21600" o:gfxdata="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xiG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202" type="#_x0000_t202" style="position:absolute;left:5235;top:11266;height:343;width:1760;" fillcolor="#FFFFFF" filled="t" stroked="t" coordsize="21600,21600" o:gfxdata="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t2a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地下水采样井建设</w:t>
                                      </w:r>
                                    </w:p>
                                  </w:txbxContent>
                                </v:textbox>
                              </v:shape>
                              <v:shape id="_x0000_s1026" o:spid="_x0000_s1026" o:spt="32" type="#_x0000_t32" style="position:absolute;left:6119;top:11074;height:231;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144;top:13835;height:231;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819;top:12543;flip:x;height:9;width:2042;" filled="f" stroked="t" coordsize="21600,21600" o:gfxdata="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cF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5471;top:13489;height:343;width:1345;" fillcolor="#FFFFFF" filled="t" stroked="t" coordsize="21600,21600" o:gfxdata="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QcV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样品检测分析</w:t>
                                      </w:r>
                                    </w:p>
                                  </w:txbxContent>
                                </v:textbox>
                              </v:shape>
                              <v:shape id="_x0000_s1026" o:spid="_x0000_s1026" o:spt="32" type="#_x0000_t32" style="position:absolute;left:6135;top:13280;height:231;width:0;"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68;top:12943;height:343;width:1345;" fillcolor="#FFFFFF" filled="t" stroked="t" coordsize="21600,21600" o:gfxdata="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onu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样品流转</w:t>
                                      </w:r>
                                    </w:p>
                                  </w:txbxContent>
                                </v:textbox>
                              </v:shape>
                              <v:shape id="_x0000_s1026" o:spid="_x0000_s1026" o:spt="32" type="#_x0000_t32" style="position:absolute;left:6136;top:12718;height:231;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68;top:12377;height:343;width:1345;" fillcolor="#FFFFFF" filled="t" stroked="t" coordsize="21600,21600" o:gfxdata="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PGl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样品保存</w:t>
                                      </w:r>
                                    </w:p>
                                  </w:txbxContent>
                                </v:textbox>
                              </v:shape>
                              <v:shape id="_x0000_s1026" o:spid="_x0000_s1026" o:spt="32" type="#_x0000_t32" style="position:absolute;left:6135;top:12157;height:231;width:0;"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5244;top:11814;height:343;width:1760;" fillcolor="#FFFFFF" filled="t" stroked="t" coordsize="21600,21600" o:gfxdata="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kSG7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地下水样品采集</w:t>
                                      </w:r>
                                    </w:p>
                                  </w:txbxContent>
                                </v:textbox>
                              </v:shape>
                              <v:shape id="_x0000_s1026" o:spid="_x0000_s1026" o:spt="32" type="#_x0000_t32" style="position:absolute;left:6128;top:11589;height:231;width:0;"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id="_x0000_s1026" o:spid="_x0000_s1026" o:spt="203" style="position:absolute;left:4252;top:1465;height:8849;width:3733;" coordorigin="4252,1465" coordsize="3733,8849"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4252;top:5829;height:4485;width:3733;" coordorigin="4252,5829" coordsize="3733,4485"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4252;top:5829;height:343;width:3733;" fillcolor="#FFFFFF" filled="t" stroked="t" coordsize="21600,21600" o:gfxdata="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FHN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污染隐患排查，疑似污染区域识别</w:t>
                                        </w:r>
                                      </w:p>
                                    </w:txbxContent>
                                  </v:textbox>
                                </v:shape>
                                <v:shape id="_x0000_s1026" o:spid="_x0000_s1026" o:spt="202" type="#_x0000_t202" style="position:absolute;left:5421;top:6390;height:343;width:1345;" fillcolor="#FFFFFF" filled="t" stroked="t" coordsize="21600,21600" o:gfxdata="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Nbp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筛选布点区域</w:t>
                                        </w:r>
                                      </w:p>
                                    </w:txbxContent>
                                  </v:textbox>
                                </v:shape>
                                <v:shape id="_x0000_s1026" o:spid="_x0000_s1026" o:spt="32" type="#_x0000_t32" style="position:absolute;left:6097;top:6167;height:231;width: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5419;top:6960;height:343;width:1345;" fillcolor="#FFFFFF" filled="t" stroked="t" coordsize="21600,21600" o:gfxdata="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btB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制定布点计划</w:t>
                                        </w:r>
                                      </w:p>
                                    </w:txbxContent>
                                  </v:textbox>
                                </v:shape>
                                <v:shape id="_x0000_s1026" o:spid="_x0000_s1026" o:spt="32" type="#_x0000_t32" style="position:absolute;left:6085;top:6739;height:231;width: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083;top:7290;height:231;width:0;" filled="f" stroked="t" coordsize="21600,21600" o:gfxdata="UEsDBAoAAAAAAIdO4kAAAAAAAAAAAAAAAAAEAAAAZHJzL1BLAwQUAAAACACHTuJAV/05H78AAADb&#10;AAAADwAAAGRycy9kb3ducmV2LnhtbEWPzWrDMBCE74G8g9hAb4nsQE3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O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105;top:7826;height:231;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331;top:7504;height:343;width:1493;" fillcolor="#FFFFFF" filled="t" stroked="t" coordsize="21600,21600" o:gfxdata="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96wa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采样点现场确定</w:t>
                                        </w:r>
                                      </w:p>
                                    </w:txbxContent>
                                  </v:textbox>
                                </v:shape>
                                <v:shape id="_x0000_s1026" o:spid="_x0000_s1026" o:spt="32" type="#_x0000_t32" style="position:absolute;left:6102;top:8395;height:231;width:0;" filled="f" stroked="t" coordsize="21600,21600" o:gfxdata="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JaB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202" type="#_x0000_t202" style="position:absolute;left:5430;top:8049;height:343;width:1345;" fillcolor="#FFFFFF" filled="t" stroked="t" coordsize="21600,21600" o:gfxdata="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trv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编制布点方案</w:t>
                                        </w:r>
                                      </w:p>
                                    </w:txbxContent>
                                  </v:textbox>
                                </v:shape>
                                <v:shape id="_x0000_s1026" o:spid="_x0000_s1026" o:spt="202" type="#_x0000_t202" style="position:absolute;left:5055;top:8599;height:343;width:2105;" fillcolor="#FFFFFF" filled="t" stroked="t" coordsize="21600,21600" o:gfxdata="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eWv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采样方案与采样准备</w:t>
                                        </w:r>
                                      </w:p>
                                    </w:txbxContent>
                                  </v:textbox>
                                </v:shape>
                                <v:shape id="_x0000_s1026" o:spid="_x0000_s1026" o:spt="202" type="#_x0000_t202" style="position:absolute;left:5449;top:9172;height:343;width:1345;" fillcolor="#FFFFFF" filled="t" stroked="t" coordsize="21600,21600" o:gfxdata="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BQDS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土孔钻探</w:t>
                                        </w:r>
                                      </w:p>
                                    </w:txbxContent>
                                  </v:textbox>
                                </v:shape>
                                <v:shape id="_x0000_s1026" o:spid="_x0000_s1026" o:spt="32" type="#_x0000_t32" style="position:absolute;left:6112;top:8946;height:231;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31;top:9742;height:343;width:1345;" fillcolor="#FFFFFF" filled="t" stroked="t" coordsize="21600,21600" o:gfxdata="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972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土壤样品采集</w:t>
                                        </w:r>
                                      </w:p>
                                    </w:txbxContent>
                                  </v:textbox>
                                </v:shape>
                                <v:shape id="_x0000_s1026" o:spid="_x0000_s1026" o:spt="32" type="#_x0000_t32" style="position:absolute;left:6111;top:9525;height:231;width: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120;top:10083;height:231;width:0;" filled="f" stroked="t" coordsize="21600,21600" o:gfxdata="UEsDBAoAAAAAAIdO4kAAAAAAAAAAAAAAAAAEAAAAZHJzL1BLAwQUAAAACACHTuJA0iSvwr4AAADb&#10;AAAADwAAAGRycy9kb3ducmV2LnhtbEWPW2sCMRSE3wv9D+EU+qZZha5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Sv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_x0000_s1026" o:spid="_x0000_s1026" o:spt="203" style="position:absolute;left:5319;top:1465;height:4389;width:1523;" coordorigin="5319,1465" coordsize="1523,4389"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366;top:2583;height:343;width:1345;" fillcolor="#FFFFFF" filled="t" stroked="t" coordsize="21600,21600" o:gfxdata="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R927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基本信息核实</w:t>
                                        </w:r>
                                      </w:p>
                                    </w:txbxContent>
                                  </v:textbox>
                                </v:shape>
                                <v:shape id="_x0000_s1026" o:spid="_x0000_s1026" o:spt="32" type="#_x0000_t32" style="position:absolute;left:6040;top:2375;height:231;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058;top:3471;height:231;width: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5334;top:1465;height:352;width:1345;" fillcolor="#FFFFFF" filled="t" stroked="t" coordsize="21600,21600" o:gfxdata="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YlYi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确定调查对象</w:t>
                                        </w:r>
                                      </w:p>
                                    </w:txbxContent>
                                  </v:textbox>
                                </v:shape>
                                <v:shape id="_x0000_s1026" o:spid="_x0000_s1026" o:spt="32" type="#_x0000_t32" style="position:absolute;left:6042;top:1805;height:231;width:0;"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394;top:2025;height:343;width:1253;" fillcolor="#FFFFFF" filled="t" stroked="t" coordsize="21600,21600" o:gfxdata="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hq5k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工作准备</w:t>
                                        </w:r>
                                      </w:p>
                                    </w:txbxContent>
                                  </v:textbox>
                                </v:shape>
                                <v:shape id="_x0000_s1026" o:spid="_x0000_s1026" o:spt="32" type="#_x0000_t32" style="position:absolute;left:6049;top:2923;height:231;width:0;" filled="f" stroked="t" coordsize="21600,21600" o:gfxdata="UEsDBAoAAAAAAIdO4kAAAAAAAAAAAAAAAAAEAAAAZHJzL1BLAwQUAAAACACHTuJAB1TiCr4AAADb&#10;AAAADwAAAGRycy9kb3ducmV2LnhtbEWPT2sCMRTE7wW/Q3hCbzWrwq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TiC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13;top:3135;height:343;width:1253;" fillcolor="#FFFFFF" filled="t" stroked="t" coordsize="21600,21600" o:gfxdata="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OTi7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资料收集</w:t>
                                        </w:r>
                                      </w:p>
                                    </w:txbxContent>
                                  </v:textbox>
                                </v:shape>
                                <v:shape id="_x0000_s1026" o:spid="_x0000_s1026" o:spt="32" type="#_x0000_t32" style="position:absolute;left:6100;top:5053;height:231;width: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336;top:5284;height:343;width:1506;" fillcolor="#FFFFFF" filled="t" stroked="t" coordsize="21600,21600" o:gfxdata="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ahn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信息整理与填报</w:t>
                                        </w:r>
                                      </w:p>
                                    </w:txbxContent>
                                  </v:textbox>
                                </v:shape>
                                <v:shape id="_x0000_s1026" o:spid="_x0000_s1026" o:spt="32" type="#_x0000_t32" style="position:absolute;left:6098;top:5623;height:231;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319;top:3691;height:1350;width:1488;v-text-anchor:middle;" filled="f" stroked="t" coordsize="21600,21600" o:gfxdata="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oAy+LUAAADbAAAADwAA&#10;AAAAAAABACAAAAAiAAAAZHJzL2Rvd25yZXYueG1sUEsBAhQAFAAAAAgAh07iQDMvBZ47AAAAOQAA&#10;ABAAAAAAAAAAAQAgAAAABAEAAGRycy9zaGFwZXhtbC54bWxQSwUGAAAAAAYABgBbAQAArgMAAAAA&#10;">
                                  <v:fill on="f" focussize="0,0"/>
                                  <v:stroke weight="0.5pt" color="#000000" joinstyle="miter"/>
                                  <v:imagedata o:title=""/>
                                  <o:lock v:ext="edit" aspectratio="f"/>
                                </v:rect>
                              </v:group>
                            </v:group>
                          </v:group>
                        </v:group>
                      </v:group>
                    </v:group>
                  </v:group>
                </v:group>
                <w10:wrap type="none"/>
                <w10:anchorlock/>
              </v:group>
            </w:pict>
          </mc:Fallback>
        </mc:AlternateContent>
      </w:r>
    </w:p>
    <w:p>
      <w:pPr>
        <w:pStyle w:val="2"/>
        <w:spacing w:line="360" w:lineRule="exact"/>
        <w:ind w:firstLine="0" w:firstLineChars="0"/>
        <w:jc w:val="center"/>
        <w:rPr>
          <w:rFonts w:hint="default" w:ascii="Times New Roman" w:hAnsi="Times New Roman" w:cs="Times New Roman"/>
          <w:lang w:val="en-US" w:eastAsia="zh-CN"/>
        </w:rPr>
      </w:pPr>
      <w:bookmarkStart w:id="12" w:name="_Toc21053"/>
      <w:bookmarkStart w:id="13" w:name="_Toc12709"/>
      <w:bookmarkStart w:id="14" w:name="_Toc13114"/>
      <w:bookmarkStart w:id="15" w:name="_Toc19402"/>
      <w:bookmarkStart w:id="16" w:name="_Toc29672"/>
      <w:bookmarkStart w:id="17" w:name="_Toc5355"/>
      <w:bookmarkStart w:id="18" w:name="_Toc6731"/>
      <w:bookmarkStart w:id="19" w:name="_Toc25844"/>
      <w:bookmarkStart w:id="20" w:name="_Toc10126"/>
      <w:bookmarkStart w:id="21" w:name="_Toc25694"/>
      <w:bookmarkStart w:id="22" w:name="_Toc4450"/>
      <w:bookmarkStart w:id="23" w:name="_Toc12906"/>
      <w:bookmarkStart w:id="24" w:name="_Toc21482"/>
      <w:bookmarkStart w:id="25" w:name="_Toc26040"/>
      <w:r>
        <w:rPr>
          <w:rFonts w:hint="default" w:ascii="Times New Roman" w:hAnsi="Times New Roman" w:cs="Times New Roman"/>
        </w:rPr>
        <mc:AlternateContent>
          <mc:Choice Requires="wps">
            <w:drawing>
              <wp:anchor distT="0" distB="0" distL="114300" distR="114300" simplePos="0" relativeHeight="254815232" behindDoc="0" locked="0" layoutInCell="1" allowOverlap="1">
                <wp:simplePos x="0" y="0"/>
                <wp:positionH relativeFrom="column">
                  <wp:posOffset>915035</wp:posOffset>
                </wp:positionH>
                <wp:positionV relativeFrom="paragraph">
                  <wp:posOffset>38735</wp:posOffset>
                </wp:positionV>
                <wp:extent cx="3764915" cy="294640"/>
                <wp:effectExtent l="0" t="0" r="0" b="0"/>
                <wp:wrapNone/>
                <wp:docPr id="156" name="文本框 156"/>
                <wp:cNvGraphicFramePr/>
                <a:graphic xmlns:a="http://schemas.openxmlformats.org/drawingml/2006/main">
                  <a:graphicData uri="http://schemas.microsoft.com/office/word/2010/wordprocessingShape">
                    <wps:wsp>
                      <wps:cNvSpPr txBox="1"/>
                      <wps:spPr>
                        <a:xfrm>
                          <a:off x="3040380" y="9584055"/>
                          <a:ext cx="3764915" cy="457835"/>
                        </a:xfrm>
                        <a:prstGeom prst="rect">
                          <a:avLst/>
                        </a:prstGeom>
                        <a:noFill/>
                        <a:ln w="6350">
                          <a:noFill/>
                        </a:ln>
                        <a:effectLst/>
                      </wps:spPr>
                      <wps:txbx>
                        <w:txbxContent>
                          <w:p>
                            <w:pPr>
                              <w:spacing w:line="240" w:lineRule="auto"/>
                              <w:ind w:firstLine="0" w:firstLineChars="0"/>
                              <w:jc w:val="center"/>
                              <w:rPr>
                                <w:sz w:val="21"/>
                                <w:szCs w:val="21"/>
                              </w:rPr>
                            </w:pPr>
                            <w:r>
                              <w:rPr>
                                <w:rFonts w:ascii="Times New Roman" w:hAnsi="Times New Roman"/>
                                <w:b/>
                                <w:bCs/>
                                <w:sz w:val="21"/>
                                <w:szCs w:val="21"/>
                              </w:rPr>
                              <w:t xml:space="preserve">图1.4-1   </w:t>
                            </w:r>
                            <w:r>
                              <w:rPr>
                                <w:rFonts w:hint="eastAsia" w:ascii="Times New Roman" w:hAnsi="Times New Roman"/>
                                <w:b/>
                                <w:bCs/>
                                <w:sz w:val="21"/>
                                <w:szCs w:val="21"/>
                              </w:rPr>
                              <w:t>环境质量状况调查</w:t>
                            </w:r>
                            <w:r>
                              <w:rPr>
                                <w:rFonts w:ascii="Times New Roman" w:hAnsi="Times New Roman"/>
                                <w:b/>
                                <w:bCs/>
                                <w:sz w:val="21"/>
                                <w:szCs w:val="21"/>
                              </w:rPr>
                              <w:t>技术路线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05pt;margin-top:3.05pt;height:23.2pt;width:296.45pt;z-index:254815232;mso-width-relative:page;mso-height-relative:page;" filled="f" stroked="f" coordsize="21600,21600" o:gfxdata="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oeE9kAAAAIAQAADwAAAAAAAAABACAAAAAiAAAAZHJzL2Rvd25yZXYu&#10;eG1sUEsBAhQAFAAAAAgAh07iQLBkMBMzAgAANgQAAA4AAAAAAAAAAQAgAAAAKAEAAGRycy9lMm9E&#10;b2MueG1sUEsFBgAAAAAGAAYAWQEAAM0FAAAAAA==&#10;">
                <v:fill on="f" focussize="0,0"/>
                <v:stroke on="f" weight="0.5pt"/>
                <v:imagedata o:title=""/>
                <o:lock v:ext="edit" aspectratio="f"/>
                <v:textbox>
                  <w:txbxContent>
                    <w:p>
                      <w:pPr>
                        <w:spacing w:line="240" w:lineRule="auto"/>
                        <w:ind w:firstLine="0" w:firstLineChars="0"/>
                        <w:jc w:val="center"/>
                        <w:rPr>
                          <w:sz w:val="21"/>
                          <w:szCs w:val="21"/>
                        </w:rPr>
                      </w:pPr>
                      <w:r>
                        <w:rPr>
                          <w:rFonts w:ascii="Times New Roman" w:hAnsi="Times New Roman"/>
                          <w:b/>
                          <w:bCs/>
                          <w:sz w:val="21"/>
                          <w:szCs w:val="21"/>
                        </w:rPr>
                        <w:t xml:space="preserve">图1.4-1   </w:t>
                      </w:r>
                      <w:r>
                        <w:rPr>
                          <w:rFonts w:hint="eastAsia" w:ascii="Times New Roman" w:hAnsi="Times New Roman"/>
                          <w:b/>
                          <w:bCs/>
                          <w:sz w:val="21"/>
                          <w:szCs w:val="21"/>
                        </w:rPr>
                        <w:t>环境质量状况调查</w:t>
                      </w:r>
                      <w:r>
                        <w:rPr>
                          <w:rFonts w:ascii="Times New Roman" w:hAnsi="Times New Roman"/>
                          <w:b/>
                          <w:bCs/>
                          <w:sz w:val="21"/>
                          <w:szCs w:val="21"/>
                        </w:rPr>
                        <w:t>技术路线</w:t>
                      </w:r>
                    </w:p>
                  </w:txbxContent>
                </v:textbox>
              </v:shape>
            </w:pict>
          </mc:Fallback>
        </mc:AlternateContent>
      </w:r>
      <w:bookmarkEnd w:id="12"/>
      <w:bookmarkEnd w:id="13"/>
      <w:bookmarkEnd w:id="14"/>
      <w:bookmarkEnd w:id="15"/>
      <w:bookmarkEnd w:id="16"/>
      <w:bookmarkEnd w:id="17"/>
      <w:bookmarkEnd w:id="18"/>
      <w:bookmarkEnd w:id="19"/>
      <w:bookmarkEnd w:id="20"/>
      <w:bookmarkEnd w:id="21"/>
      <w:bookmarkEnd w:id="22"/>
      <w:bookmarkEnd w:id="23"/>
      <w:bookmarkEnd w:id="24"/>
      <w:bookmarkEnd w:id="25"/>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pPr>
        <w:pStyle w:val="4"/>
        <w:bidi w:val="0"/>
        <w:ind w:left="0" w:leftChars="0" w:firstLine="0" w:firstLineChars="0"/>
        <w:rPr>
          <w:rFonts w:hint="eastAsia" w:ascii="Times New Roman" w:hAnsi="Times New Roman" w:eastAsia="宋体" w:cs="Times New Roman"/>
          <w:sz w:val="30"/>
          <w:szCs w:val="30"/>
          <w:lang w:val="en-US" w:eastAsia="zh-CN"/>
        </w:rPr>
      </w:pPr>
      <w:bookmarkStart w:id="26" w:name="_Toc10147"/>
      <w:r>
        <w:rPr>
          <w:rFonts w:hint="default" w:ascii="Times New Roman" w:hAnsi="Times New Roman" w:eastAsia="宋体" w:cs="Times New Roman"/>
          <w:sz w:val="30"/>
          <w:szCs w:val="30"/>
          <w:lang w:val="en-US" w:eastAsia="zh-CN"/>
        </w:rPr>
        <w:t>2 企业</w:t>
      </w:r>
      <w:r>
        <w:rPr>
          <w:rFonts w:hint="eastAsia" w:eastAsia="宋体" w:cs="Times New Roman"/>
          <w:sz w:val="30"/>
          <w:szCs w:val="30"/>
          <w:lang w:val="en-US" w:eastAsia="zh-CN"/>
        </w:rPr>
        <w:t>环境概况</w:t>
      </w:r>
      <w:bookmarkEnd w:id="26"/>
    </w:p>
    <w:p>
      <w:pPr>
        <w:pStyle w:val="5"/>
        <w:keepNext/>
        <w:keepLines/>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rPr>
      </w:pPr>
      <w:bookmarkStart w:id="27" w:name="_Toc28431"/>
      <w:r>
        <w:rPr>
          <w:rFonts w:hint="default" w:ascii="Times New Roman" w:hAnsi="Times New Roman" w:eastAsia="宋体" w:cs="Times New Roman"/>
          <w:sz w:val="28"/>
          <w:szCs w:val="28"/>
          <w:lang w:val="en-US" w:eastAsia="zh-CN"/>
        </w:rPr>
        <w:t>2.1 地理位置</w:t>
      </w:r>
      <w:bookmarkEnd w:id="27"/>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本次调查场地邢台兴安液压机械有限公司位于邢台市任县工业区永康大街西头路北，东环路西侧，场区中心坐标为E 114°39′18.12″，N 37°8′41.32″，场地地理位置图见图2.1-1。</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048885" cy="4016375"/>
            <wp:effectExtent l="0" t="0" r="18415" b="3175"/>
            <wp:docPr id="3" name="图片 3" descr="8d15d7950d3d5959061d7fd25a3c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15d7950d3d5959061d7fd25a3c2af"/>
                    <pic:cNvPicPr>
                      <a:picLocks noChangeAspect="1"/>
                    </pic:cNvPicPr>
                  </pic:nvPicPr>
                  <pic:blipFill>
                    <a:blip r:embed="rId13"/>
                    <a:stretch>
                      <a:fillRect/>
                    </a:stretch>
                  </pic:blipFill>
                  <pic:spPr>
                    <a:xfrm>
                      <a:off x="0" y="0"/>
                      <a:ext cx="5048885" cy="40163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图2.1-1  厂区地理位置图</w:t>
      </w:r>
    </w:p>
    <w:p>
      <w:pPr>
        <w:pStyle w:val="5"/>
        <w:bidi w:val="0"/>
        <w:ind w:left="0" w:leftChars="0" w:firstLine="0" w:firstLineChars="0"/>
        <w:rPr>
          <w:rFonts w:hint="default" w:ascii="Times New Roman" w:hAnsi="Times New Roman" w:eastAsia="宋体" w:cs="Times New Roman"/>
          <w:sz w:val="28"/>
          <w:szCs w:val="28"/>
          <w:lang w:val="en-US" w:eastAsia="zh-CN"/>
        </w:rPr>
      </w:pPr>
      <w:bookmarkStart w:id="28" w:name="_Toc11897"/>
      <w:r>
        <w:rPr>
          <w:rFonts w:hint="default" w:ascii="Times New Roman" w:hAnsi="Times New Roman" w:eastAsia="宋体" w:cs="Times New Roman"/>
          <w:sz w:val="28"/>
          <w:szCs w:val="28"/>
          <w:lang w:val="en-US" w:eastAsia="zh-CN"/>
        </w:rPr>
        <w:t>2.2 区域环境概况</w:t>
      </w:r>
      <w:bookmarkEnd w:id="28"/>
    </w:p>
    <w:p>
      <w:pPr>
        <w:pStyle w:val="6"/>
        <w:bidi w:val="0"/>
        <w:ind w:left="0" w:leftChars="0" w:firstLine="0" w:firstLineChars="0"/>
        <w:rPr>
          <w:rFonts w:hint="default" w:ascii="Times New Roman" w:hAnsi="Times New Roman" w:eastAsia="宋体" w:cs="Times New Roman"/>
          <w:lang w:val="en-US" w:eastAsia="zh-CN"/>
        </w:rPr>
      </w:pPr>
      <w:bookmarkStart w:id="29" w:name="_Toc24416"/>
      <w:r>
        <w:rPr>
          <w:rFonts w:hint="default" w:ascii="Times New Roman" w:hAnsi="Times New Roman" w:eastAsia="宋体" w:cs="Times New Roman"/>
          <w:lang w:val="en-US" w:eastAsia="zh-CN"/>
        </w:rPr>
        <w:t>2.2.1 地形地貌</w:t>
      </w:r>
      <w:bookmarkEnd w:id="29"/>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任县位于华北平原南部，地处太行山东麓，由河流、洪水冲积及湖沼沉积而形成，结构类型复杂。地势西高东低，由西南向东北倾降</w:t>
      </w:r>
      <w:r>
        <w:rPr>
          <w:rFonts w:hint="default" w:ascii="Times New Roman" w:hAnsi="Times New Roman" w:eastAsia="宋体" w:cs="Times New Roman"/>
          <w:sz w:val="24"/>
          <w:szCs w:val="24"/>
          <w:lang w:eastAsia="zh-CN"/>
        </w:rPr>
        <w:t>。区内地势低平，地面起伏小，组成以砂质粘土和粘土为主</w:t>
      </w:r>
      <w:r>
        <w:rPr>
          <w:rFonts w:hint="default" w:ascii="Times New Roman" w:hAnsi="Times New Roman" w:eastAsia="宋体" w:cs="Times New Roman"/>
          <w:sz w:val="24"/>
          <w:szCs w:val="24"/>
        </w:rPr>
        <w:t>。西部为太行山冲积平原，土地沙质多。任县地势平坦，土地肥沃，地下水源丰富。地下水位浅，部分地方有沼泽化现象。河流虽然较多，因地势低洼，排水不畅，土地洪涝和盐碱化灾害严重。任县地处“大陆泽宁晋泊低平原区中部”，海拔20～35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t>邢台兴安液压机械有限公司</w:t>
      </w:r>
      <w:r>
        <w:rPr>
          <w:rFonts w:hint="default" w:ascii="Times New Roman" w:hAnsi="Times New Roman" w:eastAsia="宋体" w:cs="Times New Roman"/>
          <w:sz w:val="24"/>
          <w:szCs w:val="24"/>
        </w:rPr>
        <w:t>位于任县北部，属平原地形，四周平坦、开阔，海拔高度31m。</w:t>
      </w:r>
    </w:p>
    <w:p>
      <w:pPr>
        <w:pStyle w:val="6"/>
        <w:bidi w:val="0"/>
        <w:ind w:left="0" w:leftChars="0" w:firstLine="0" w:firstLineChars="0"/>
        <w:rPr>
          <w:rFonts w:hint="default" w:ascii="Times New Roman" w:hAnsi="Times New Roman" w:eastAsia="宋体" w:cs="Times New Roman"/>
          <w:lang w:val="en-US" w:eastAsia="zh-CN"/>
        </w:rPr>
      </w:pPr>
      <w:bookmarkStart w:id="30" w:name="_Toc11947"/>
      <w:r>
        <w:rPr>
          <w:rFonts w:hint="default" w:ascii="Times New Roman" w:hAnsi="Times New Roman" w:eastAsia="宋体" w:cs="Times New Roman"/>
          <w:lang w:val="en-US" w:eastAsia="zh-CN"/>
        </w:rPr>
        <w:t>2.2.2 地层地质</w:t>
      </w:r>
      <w:bookmarkEnd w:id="30"/>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任县位于太行山前沿断裂的东侧华北断陷平原上，地质构造属华北陆台，跨占冀、鲁、豫、皖四省的大型新生代断裂拗陷的北部，四周被深断裂或大断裂围限。根据物探、钻孔资料，任县属前新生代的发展历史。在太古代—早原古代结晶基底之上，发育有中—晚无古代及早古代浅海相碳盐建造，晚古生代滨海转陆相含煤建造。进入第三纪以来，断裂活动剧烈，形成众多的小型断陷盆地，显示大陆裂谷盆地性质。在区域差异性背景上，太行山东侧的华北拗陷区域内发育了一凸起和凹陷构造。任县南邻南和断凸，东邻广宗断凸、巨鹿断凹，西邻邯郸至北的大断裂带，使任县在当中形成一个低洼地带。晚第三纪至第四纪，在边界断裂的制约下，持续平稳地沉降，但差异活动不够明显。岩浆活动相应减弱，湖泊或河流相堆积厚度1200m～2600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任县上覆地层属新生界第四系，第四纪地层层次齐全，堆积类型复杂，以冲积、洪积、湖积以及过渡类型为主，间有海积、风积以及冰水堆积和火山堆积等类型。地层划分为三组、七段和四统。各组、段地层的一般特征如下：</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）各组一般</w:t>
      </w:r>
      <w:r>
        <w:rPr>
          <w:rFonts w:hint="default" w:ascii="Times New Roman" w:hAnsi="Times New Roman" w:eastAsia="宋体" w:cs="Times New Roman"/>
          <w:sz w:val="24"/>
          <w:szCs w:val="24"/>
        </w:rPr>
        <w:t>特征</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安组：为一套冲积、冲洪积与冰川—冰水堆积及冲积、湖积的粘土、亚粘土夹砂砾石层堆积，普遍含铁锰结核，局部粘土含风化长石砂粒，具不明显的混粒结构。下段以棕红色为基色、混锈黄色、灰绿色及斑杂色的粘土夹砾层。底界面深度一般为350m～550m，最深可达600m以上。上段以红棕色、棕色为基色、混锈黄色为主。底界面深度一般为300m～400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杨柳青组：为一套冲积、洪积与冰水堆积及冲积、湖积的含砂、亚粘土夹砂砾石层的堆积，其中可见明显的长石风化碎屑。根据气候、岩性及沉积旋回特征可分为两段。下段以棕色、浅红色夹锈黄色砂质粘土夹砂砾石层为主。底界面深度一般为250～350m。上段为棕黄色、黄棕色为主的冲洪积、冲积、河湖积的亚粘土细砂层。底界深度一般为200m～280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欧庄组：为一套冲积、洪积和冲积、湖积为主的沉积物。主要由黄色、棕色具黄土状结构的粘土质亚砂土、亚粘土夹砂砾石层组成。根据岩性及气候特征等划分为三段。下段：底界面一般埋深120～170m。由冲洪积冲湖积堆积物构成。中段：底界面埋深一般在90m～120m。由冲洪积、冲积、湖沼积及局部海相沉积物构成。上段：底界面一般深度为50m～70m。由冲积、冲积—湖沼的灰黄、黄灰色细砂层、亚粘土、亚砂土组成，具水平层理和斜层理。</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）各</w:t>
      </w:r>
      <w:r>
        <w:rPr>
          <w:rFonts w:hint="default" w:ascii="Times New Roman" w:hAnsi="Times New Roman" w:eastAsia="宋体" w:cs="Times New Roman"/>
          <w:sz w:val="24"/>
          <w:szCs w:val="24"/>
        </w:rPr>
        <w:t>统一般特征</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下更新统(Ｑ1):为一套冰、冰水沉积物，岩性为灰绿、棕红间杂以黄色的泥砾层为主。厚度15～40米，底板埋深210～260米。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中更新统(Ｑ2)：为一套冲洪积、湖积和部分冰水沉积物。岩性为棕红、灰绿色粉质粘土夹风化砂、含砾粗砂。底板埋深195～220米。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上更新统(Ｑ3)：为一套冲积物。岩性下部为砂砾卵石层，上部为粉土、粉质粘土夹砂层，底板埋深30～60米。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全新统(Ｑ4)：以冲积为主，夹有湖沼相沉积。岩性主要灰黄、浅黄色粉土夹薄层淤泥质粘土、粉细砂层和风积砂，土质疏松，常见未钙化的古土壤层。底板深度一般在5～20米。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第四系地层之下覆有二叠、石岩、奥陶系地层，其中二叠、石岩系地层主要由砂页岩构成。</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t>邢台兴安液压机械有限公司</w:t>
      </w:r>
      <w:r>
        <w:rPr>
          <w:rFonts w:hint="default" w:ascii="Times New Roman" w:hAnsi="Times New Roman" w:eastAsia="宋体" w:cs="Times New Roman"/>
          <w:sz w:val="24"/>
          <w:szCs w:val="24"/>
        </w:rPr>
        <w:t>所在区域地层主要为第四系全新统，地层堆积类型为河流冲积类型。地层主要为第四系沉积黄土状粉土、黄土状粉质粘土和粉土层。</w:t>
      </w:r>
    </w:p>
    <w:p>
      <w:pPr>
        <w:pStyle w:val="6"/>
        <w:bidi w:val="0"/>
        <w:ind w:left="0" w:leftChars="0" w:firstLine="0" w:firstLineChars="0"/>
        <w:rPr>
          <w:rFonts w:hint="default" w:ascii="Times New Roman" w:hAnsi="Times New Roman" w:eastAsia="宋体" w:cs="Times New Roman"/>
          <w:lang w:val="en-US" w:eastAsia="zh-CN"/>
        </w:rPr>
      </w:pPr>
      <w:bookmarkStart w:id="31" w:name="_Toc19576"/>
      <w:r>
        <w:rPr>
          <w:rFonts w:hint="default" w:ascii="Times New Roman" w:hAnsi="Times New Roman" w:eastAsia="宋体" w:cs="Times New Roman"/>
          <w:lang w:val="en-US" w:eastAsia="zh-CN"/>
        </w:rPr>
        <w:t>2.2.3 水文地质</w:t>
      </w:r>
      <w:bookmarkEnd w:id="31"/>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任县区域地层的分布、岩性条件等水文地质特征，任县地下水属于第四系松散岩类空隙水，赋存于冲洪积扇冲洪积砂、砂砾石层中，分为浅层-微承压水和深层承压水。在水平方向上为太行山冲积扇前缘浅层零星分布区和中部湖积、冲积平原浅部咸、淡水乡间分布区。从垂直方向上看，可划分为四个含水组：</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第一含水组底板埋深滏西在10～40m、滏东40～60m，单位涌水量滏西河道附近为30t/h.m，其余大部分为2.5～10t/h.m。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二含水组底板埋深滏西在20～140m，滏东在140～250m，单位涌水量滏西河道附近为15t/h.m，其余大部分为2.5～10t/h.m。任县境内滏阳河以西一带含水层厚度大，颗粒粗，由卵砾石、中粗砂组成，径流条件好，为全淡水区。滏阳河以东则含水层层次渐多，厚度变薄、粒度变细，以中细砂—粉砂为主。</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第三层含水组底板埋深滏西在300～370m，滏东在340～420m，单位涌水量大部分为5～10t/h.m。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第四层含水组底板埋深滏西在460～560m，滏东在520～580m，单位涌水量滏西多小于5t/h.m，滏东多为5～10t/h.m，开采较少。</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从区域分布看，地下水分布大致可分为2个区。</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①黑龙港平原区，包括滏阳河以东地区，面积45km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，该区水资源贫乏，地下水的垂直分布大多为浅层淡水—咸水—深层淡水。多年平均降水量527.3mm，主要由大气降水入渗和地表水入渗补给，该区年可开采量179.5万m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②滏西平原区，包括任县滏阳河以西地区，面积386km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主要为第四纪松散岩类孔隙含水岩系，含水层以粗砂、中粗砂为主，厚度10～15m。多年平均降水量519.4mm，该区为冲洪积平原全淡水区，水资源相对丰富，且水质较好。主要由地表水体入渗、大气降水入渗和山区地下水侧向入渗补给。单位涌水量2.5～20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/h.m，该区年可开采量6619.7万m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t>邢台兴安液压机械有限公司</w:t>
      </w:r>
      <w:r>
        <w:rPr>
          <w:rFonts w:hint="default" w:ascii="Times New Roman" w:hAnsi="Times New Roman" w:eastAsia="宋体" w:cs="Times New Roman"/>
          <w:sz w:val="24"/>
          <w:szCs w:val="24"/>
        </w:rPr>
        <w:t>工程所在区域位于任县北部，地下水分布属滏西平原区，</w:t>
      </w:r>
      <w:r>
        <w:rPr>
          <w:rFonts w:hint="default" w:ascii="Times New Roman" w:hAnsi="Times New Roman" w:eastAsia="宋体" w:cs="Times New Roman"/>
          <w:b/>
          <w:bCs/>
          <w:sz w:val="24"/>
          <w:szCs w:val="24"/>
        </w:rPr>
        <w:t>流向自西向东</w:t>
      </w:r>
      <w:r>
        <w:rPr>
          <w:rFonts w:hint="default" w:ascii="Times New Roman" w:hAnsi="Times New Roman" w:eastAsia="宋体" w:cs="Times New Roman"/>
          <w:sz w:val="24"/>
          <w:szCs w:val="24"/>
        </w:rPr>
        <w:t>。</w:t>
      </w:r>
      <w:r>
        <w:rPr>
          <w:rFonts w:hint="default" w:ascii="Times New Roman" w:hAnsi="Times New Roman" w:eastAsia="宋体" w:cs="Times New Roman"/>
          <w:color w:val="auto"/>
          <w:lang w:val="en-US" w:eastAsia="zh-CN"/>
        </w:rPr>
        <w:t>所在区域地下水第一含水层埋深约40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w:t>
      </w:r>
    </w:p>
    <w:p>
      <w:pPr>
        <w:pStyle w:val="6"/>
        <w:bidi w:val="0"/>
        <w:ind w:left="0" w:leftChars="0" w:firstLine="0" w:firstLineChars="0"/>
        <w:rPr>
          <w:rFonts w:hint="default" w:ascii="Times New Roman" w:hAnsi="Times New Roman" w:eastAsia="宋体" w:cs="Times New Roman"/>
          <w:lang w:val="en-US" w:eastAsia="zh-CN"/>
        </w:rPr>
      </w:pPr>
      <w:bookmarkStart w:id="32" w:name="_Toc31477"/>
      <w:r>
        <w:rPr>
          <w:rFonts w:hint="default" w:ascii="Times New Roman" w:hAnsi="Times New Roman" w:eastAsia="宋体" w:cs="Times New Roman"/>
          <w:lang w:val="en-US" w:eastAsia="zh-CN"/>
        </w:rPr>
        <w:t>2.2.4 地表水系</w:t>
      </w:r>
      <w:bookmarkEnd w:id="32"/>
    </w:p>
    <w:p>
      <w:pPr>
        <w:keepNext w:val="0"/>
        <w:keepLines w:val="0"/>
        <w:pageBreakBefore w:val="0"/>
        <w:kinsoku/>
        <w:wordWrap/>
        <w:overflowPunct/>
        <w:topLinePunct w:val="0"/>
        <w:autoSpaceDE/>
        <w:autoSpaceDN/>
        <w:bidi w:val="0"/>
        <w:adjustRightInd/>
        <w:snapToGrid/>
        <w:spacing w:beforeAutospacing="0" w:afterAutospacing="0" w:line="360" w:lineRule="auto"/>
        <w:ind w:firstLine="527"/>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任县地处“九河下梢”，河道众多，境内地表水系主要包括白马河、南澧河、北澧河、沙洺河、顺水河、牛尾河、留垒河、滏阳河，均属子牙河系，滏阳河上游支流。流经县境内的这8条河流，除留垒河、牛尾河一般年份有少量的水可灌溉外，其余河道均系汛期泄洪、排涝的季节性河流，上游基流较小，下游常年干涸，每适逢汛期、洪水暴涨暴落，源短流急，多有洪涝。当地最高洪水位线32.9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白马河发源于邢台戈寨，由西南方向流入任县境内，经过邢南公路南侧流经大陆泽，在郑家庄村以东汇澧河。县境内长23公里，流域面积80平方公里。</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lang w:val="en-US" w:eastAsia="zh-CN"/>
        </w:rPr>
        <w:t>邢台兴安液压机械有限公司</w:t>
      </w:r>
      <w:r>
        <w:rPr>
          <w:rFonts w:hint="default" w:ascii="Times New Roman" w:hAnsi="Times New Roman" w:eastAsia="宋体" w:cs="Times New Roman"/>
          <w:sz w:val="24"/>
          <w:szCs w:val="24"/>
          <w:lang w:eastAsia="zh-CN"/>
        </w:rPr>
        <w:t>距离最近的地表水系牛尾河</w:t>
      </w:r>
      <w:r>
        <w:rPr>
          <w:rFonts w:hint="default" w:ascii="Times New Roman" w:hAnsi="Times New Roman" w:eastAsia="宋体" w:cs="Times New Roman"/>
          <w:sz w:val="24"/>
          <w:szCs w:val="24"/>
          <w:lang w:val="en-US" w:eastAsia="zh-CN"/>
        </w:rPr>
        <w:t>600m，其废水污染源主要为生产工艺废水和生活污水。以上废水经处理达标后除大部分回用外其余排入任县污水处理厂，即项目产生的废水不直接排入地表水体，项目所在区域的雨水随地势流入牛尾河。</w:t>
      </w:r>
    </w:p>
    <w:p>
      <w:pPr>
        <w:pStyle w:val="6"/>
        <w:bidi w:val="0"/>
        <w:ind w:left="0" w:leftChars="0" w:firstLine="0" w:firstLineChars="0"/>
        <w:rPr>
          <w:rFonts w:hint="default" w:ascii="Times New Roman" w:hAnsi="Times New Roman" w:eastAsia="宋体" w:cs="Times New Roman"/>
          <w:lang w:val="en-US" w:eastAsia="zh-CN"/>
        </w:rPr>
      </w:pPr>
      <w:bookmarkStart w:id="33" w:name="_Toc5885"/>
      <w:r>
        <w:rPr>
          <w:rFonts w:hint="default" w:ascii="Times New Roman" w:hAnsi="Times New Roman" w:eastAsia="宋体" w:cs="Times New Roman"/>
          <w:lang w:val="en-US" w:eastAsia="zh-CN"/>
        </w:rPr>
        <w:t>2.2.5 气候气象</w:t>
      </w:r>
      <w:bookmarkEnd w:id="33"/>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任县属</w:t>
      </w:r>
      <w:r>
        <w:rPr>
          <w:rFonts w:hint="default" w:ascii="Times New Roman" w:hAnsi="Times New Roman" w:eastAsia="宋体" w:cs="Times New Roman"/>
          <w:sz w:val="24"/>
          <w:szCs w:val="24"/>
          <w:lang w:eastAsia="zh-CN"/>
        </w:rPr>
        <w:t>东部季风型，南</w:t>
      </w:r>
      <w:r>
        <w:rPr>
          <w:rFonts w:hint="default" w:ascii="Times New Roman" w:hAnsi="Times New Roman" w:eastAsia="宋体" w:cs="Times New Roman"/>
          <w:sz w:val="24"/>
          <w:szCs w:val="24"/>
        </w:rPr>
        <w:t>温带</w:t>
      </w:r>
      <w:r>
        <w:rPr>
          <w:rFonts w:hint="default" w:ascii="Times New Roman" w:hAnsi="Times New Roman" w:eastAsia="宋体" w:cs="Times New Roman"/>
          <w:sz w:val="24"/>
          <w:szCs w:val="24"/>
          <w:lang w:eastAsia="zh-CN"/>
        </w:rPr>
        <w:t>气候</w:t>
      </w:r>
      <w:r>
        <w:rPr>
          <w:rFonts w:hint="default" w:ascii="Times New Roman" w:hAnsi="Times New Roman" w:eastAsia="宋体" w:cs="Times New Roman"/>
          <w:sz w:val="24"/>
          <w:szCs w:val="24"/>
        </w:rPr>
        <w:t>半湿润区，大陆性季风气候明显，四季分明，冬夏温差较大。春季干旱多风，夏季炎热多雨，秋季温和凉爽，冬季寒冷干燥。</w:t>
      </w:r>
      <w:r>
        <w:rPr>
          <w:rFonts w:hint="default" w:ascii="Times New Roman" w:hAnsi="Times New Roman" w:eastAsia="宋体" w:cs="Times New Roman"/>
          <w:sz w:val="24"/>
          <w:szCs w:val="24"/>
          <w:lang w:eastAsia="zh-CN"/>
        </w:rPr>
        <w:t>根据近年</w:t>
      </w:r>
      <w:r>
        <w:rPr>
          <w:rFonts w:hint="default" w:ascii="Times New Roman" w:hAnsi="Times New Roman" w:eastAsia="宋体" w:cs="Times New Roman"/>
          <w:sz w:val="24"/>
          <w:szCs w:val="24"/>
        </w:rPr>
        <w:t>任县气象</w:t>
      </w:r>
      <w:r>
        <w:rPr>
          <w:rFonts w:hint="default" w:ascii="Times New Roman" w:hAnsi="Times New Roman" w:eastAsia="宋体" w:cs="Times New Roman"/>
          <w:sz w:val="24"/>
          <w:szCs w:val="24"/>
          <w:lang w:eastAsia="zh-CN"/>
        </w:rPr>
        <w:t>统计结果，</w:t>
      </w:r>
      <w:r>
        <w:rPr>
          <w:rFonts w:hint="default" w:ascii="Times New Roman" w:hAnsi="Times New Roman" w:eastAsia="宋体" w:cs="Times New Roman"/>
          <w:sz w:val="24"/>
          <w:szCs w:val="24"/>
        </w:rPr>
        <w:t>主要气候气象参数见表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2-1。</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rPr>
        <w:t>气候气象参数一览表</w:t>
      </w:r>
    </w:p>
    <w:tbl>
      <w:tblPr>
        <w:tblStyle w:val="15"/>
        <w:tblW w:w="82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40"/>
        <w:gridCol w:w="1773"/>
        <w:gridCol w:w="640"/>
        <w:gridCol w:w="781"/>
        <w:gridCol w:w="640"/>
        <w:gridCol w:w="2198"/>
        <w:gridCol w:w="640"/>
        <w:gridCol w:w="9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序号</w:t>
            </w:r>
          </w:p>
        </w:tc>
        <w:tc>
          <w:tcPr>
            <w:tcW w:w="177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项  目</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单位</w:t>
            </w:r>
          </w:p>
        </w:tc>
        <w:tc>
          <w:tcPr>
            <w:tcW w:w="781" w:type="dxa"/>
            <w:tcBorders>
              <w:right w:val="doub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数据</w:t>
            </w:r>
          </w:p>
        </w:tc>
        <w:tc>
          <w:tcPr>
            <w:tcW w:w="640" w:type="dxa"/>
            <w:tcBorders>
              <w:top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序号</w:t>
            </w:r>
          </w:p>
        </w:tc>
        <w:tc>
          <w:tcPr>
            <w:tcW w:w="2198" w:type="dxa"/>
            <w:tcBorders>
              <w:top w:val="single" w:color="auto" w:sz="8"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项  目</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单位</w:t>
            </w:r>
          </w:p>
        </w:tc>
        <w:tc>
          <w:tcPr>
            <w:tcW w:w="92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1</w:t>
            </w:r>
          </w:p>
        </w:tc>
        <w:tc>
          <w:tcPr>
            <w:tcW w:w="177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年平均温度</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w:t>
            </w:r>
          </w:p>
        </w:tc>
        <w:tc>
          <w:tcPr>
            <w:tcW w:w="781" w:type="dxa"/>
            <w:tcBorders>
              <w:right w:val="doub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14.2</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6</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年平均降雨量</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mm</w:t>
            </w:r>
          </w:p>
        </w:tc>
        <w:tc>
          <w:tcPr>
            <w:tcW w:w="92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498.2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2</w:t>
            </w:r>
          </w:p>
        </w:tc>
        <w:tc>
          <w:tcPr>
            <w:tcW w:w="177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年极端最高温度</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w:t>
            </w:r>
          </w:p>
        </w:tc>
        <w:tc>
          <w:tcPr>
            <w:tcW w:w="781" w:type="dxa"/>
            <w:tcBorders>
              <w:right w:val="doub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42</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7</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年平均蒸发量</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Mm</w:t>
            </w:r>
          </w:p>
        </w:tc>
        <w:tc>
          <w:tcPr>
            <w:tcW w:w="92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1870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3</w:t>
            </w:r>
          </w:p>
        </w:tc>
        <w:tc>
          <w:tcPr>
            <w:tcW w:w="177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年极端最低温度</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w:t>
            </w:r>
          </w:p>
        </w:tc>
        <w:tc>
          <w:tcPr>
            <w:tcW w:w="781" w:type="dxa"/>
            <w:tcBorders>
              <w:right w:val="doub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spacing w:val="-8"/>
                <w:sz w:val="21"/>
                <w:szCs w:val="21"/>
                <w:lang w:val="en-US" w:eastAsia="zh-CN"/>
              </w:rPr>
              <w:t>22</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8</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年平均日照时数</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h</w:t>
            </w:r>
          </w:p>
        </w:tc>
        <w:tc>
          <w:tcPr>
            <w:tcW w:w="92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24</w:t>
            </w:r>
            <w:r>
              <w:rPr>
                <w:rFonts w:hint="default" w:ascii="Times New Roman" w:hAnsi="Times New Roman" w:eastAsia="宋体" w:cs="Times New Roman"/>
                <w:color w:val="auto"/>
                <w:spacing w:val="-8"/>
                <w:sz w:val="21"/>
                <w:szCs w:val="21"/>
                <w:lang w:val="en-US" w:eastAsia="zh-CN"/>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4</w:t>
            </w:r>
          </w:p>
        </w:tc>
        <w:tc>
          <w:tcPr>
            <w:tcW w:w="177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年平均风速</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m/s</w:t>
            </w:r>
          </w:p>
        </w:tc>
        <w:tc>
          <w:tcPr>
            <w:tcW w:w="781" w:type="dxa"/>
            <w:tcBorders>
              <w:right w:val="doub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1.6</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9</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年平均相对湿度</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w:t>
            </w:r>
          </w:p>
        </w:tc>
        <w:tc>
          <w:tcPr>
            <w:tcW w:w="92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9"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5</w:t>
            </w:r>
          </w:p>
        </w:tc>
        <w:tc>
          <w:tcPr>
            <w:tcW w:w="177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近30年最多风向</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w:t>
            </w:r>
          </w:p>
        </w:tc>
        <w:tc>
          <w:tcPr>
            <w:tcW w:w="781" w:type="dxa"/>
            <w:tcBorders>
              <w:right w:val="doub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rPr>
              <w:t>S</w:t>
            </w:r>
          </w:p>
        </w:tc>
        <w:tc>
          <w:tcPr>
            <w:tcW w:w="640" w:type="dxa"/>
            <w:tcBorders>
              <w:top w:val="single" w:color="auto" w:sz="4"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kern w:val="2"/>
                <w:sz w:val="21"/>
                <w:szCs w:val="21"/>
                <w:lang w:val="en-US" w:eastAsia="zh-CN" w:bidi="ar-SA"/>
              </w:rPr>
              <w:t>10</w:t>
            </w:r>
          </w:p>
        </w:tc>
        <w:tc>
          <w:tcPr>
            <w:tcW w:w="2198" w:type="dxa"/>
            <w:tcBorders>
              <w:top w:val="single" w:color="auto" w:sz="4" w:space="0"/>
              <w:left w:val="single" w:color="auto" w:sz="4" w:space="0"/>
              <w:bottom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eastAsia="zh-CN"/>
              </w:rPr>
              <w:t>全年无霜期</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d</w:t>
            </w:r>
          </w:p>
        </w:tc>
        <w:tc>
          <w:tcPr>
            <w:tcW w:w="92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default" w:ascii="Times New Roman" w:hAnsi="Times New Roman" w:eastAsia="宋体" w:cs="Times New Roman"/>
                <w:color w:val="auto"/>
                <w:spacing w:val="-8"/>
                <w:sz w:val="21"/>
                <w:szCs w:val="21"/>
                <w:lang w:val="en-US" w:eastAsia="zh-CN"/>
              </w:rPr>
              <w:t>197</w:t>
            </w:r>
          </w:p>
        </w:tc>
      </w:tr>
    </w:tbl>
    <w:p>
      <w:pPr>
        <w:rPr>
          <w:rFonts w:hint="default" w:ascii="Times New Roman" w:hAnsi="Times New Roman" w:eastAsia="宋体" w:cs="Times New Roman"/>
          <w:sz w:val="30"/>
          <w:szCs w:val="30"/>
          <w:lang w:val="en-US" w:eastAsia="zh-CN"/>
        </w:rPr>
      </w:pPr>
      <w:r>
        <w:rPr>
          <w:rFonts w:hint="default" w:ascii="Times New Roman" w:hAnsi="Times New Roman" w:eastAsia="宋体" w:cs="Times New Roman"/>
          <w:sz w:val="30"/>
          <w:szCs w:val="30"/>
          <w:lang w:val="en-US" w:eastAsia="zh-CN"/>
        </w:rPr>
        <w:br w:type="page"/>
      </w:r>
    </w:p>
    <w:p>
      <w:pPr>
        <w:pStyle w:val="4"/>
        <w:bidi w:val="0"/>
        <w:ind w:left="0" w:leftChars="0" w:firstLine="0" w:firstLineChars="0"/>
        <w:rPr>
          <w:rFonts w:hint="default" w:ascii="Times New Roman" w:hAnsi="Times New Roman" w:eastAsia="宋体" w:cs="Times New Roman"/>
          <w:sz w:val="30"/>
          <w:szCs w:val="30"/>
          <w:lang w:val="en-US" w:eastAsia="zh-CN"/>
        </w:rPr>
      </w:pPr>
      <w:bookmarkStart w:id="34" w:name="_Toc20188"/>
      <w:r>
        <w:rPr>
          <w:rFonts w:hint="default" w:ascii="Times New Roman" w:hAnsi="Times New Roman" w:eastAsia="宋体" w:cs="Times New Roman"/>
          <w:sz w:val="30"/>
          <w:szCs w:val="30"/>
          <w:lang w:val="en-US" w:eastAsia="zh-CN"/>
        </w:rPr>
        <w:t>3 场地污染识别</w:t>
      </w:r>
      <w:bookmarkEnd w:id="34"/>
    </w:p>
    <w:p>
      <w:pPr>
        <w:spacing w:line="480" w:lineRule="exact"/>
        <w:ind w:firstLine="480"/>
        <w:rPr>
          <w:rFonts w:hint="default" w:ascii="Times New Roman" w:hAnsi="Times New Roman" w:cs="Times New Roman"/>
        </w:rPr>
      </w:pPr>
      <w:r>
        <w:rPr>
          <w:rFonts w:hint="default" w:ascii="Times New Roman" w:hAnsi="Times New Roman" w:cs="Times New Roman"/>
        </w:rPr>
        <w:t>以《场地环境调查技术导则》（HJ25.1-2014），《北京市重点企业土壤环境自行监测技术指南（暂行）》等相关文件要求为依据，通过相关资料收集分析、现场踏勘等形式，对场地过去和现在的使用情况进行了解与分析，并识别和判断场地可能受到污染的位置和类型等。</w:t>
      </w:r>
    </w:p>
    <w:p>
      <w:pPr>
        <w:pStyle w:val="5"/>
        <w:keepNext/>
        <w:keepLines/>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z w:val="28"/>
          <w:szCs w:val="28"/>
          <w:lang w:val="en-US" w:eastAsia="zh-CN"/>
        </w:rPr>
      </w:pPr>
      <w:bookmarkStart w:id="35" w:name="_Toc17054"/>
      <w:bookmarkStart w:id="36" w:name="_Toc18270"/>
      <w:bookmarkStart w:id="37" w:name="_Toc124"/>
      <w:bookmarkStart w:id="38" w:name="_Toc28117"/>
      <w:bookmarkStart w:id="39" w:name="_Toc6729"/>
      <w:bookmarkStart w:id="40" w:name="_Toc26261"/>
      <w:bookmarkStart w:id="41" w:name="_Toc2630"/>
      <w:bookmarkStart w:id="42" w:name="_Toc9581"/>
      <w:bookmarkStart w:id="43" w:name="_Toc23799"/>
      <w:bookmarkStart w:id="44" w:name="_Toc4100"/>
      <w:bookmarkStart w:id="45" w:name="_Toc7683"/>
      <w:bookmarkStart w:id="46" w:name="_Toc24335"/>
      <w:bookmarkStart w:id="47" w:name="_Toc2812"/>
      <w:bookmarkStart w:id="48" w:name="_Toc533409839"/>
      <w:bookmarkStart w:id="49" w:name="_Toc15372"/>
      <w:r>
        <w:rPr>
          <w:rFonts w:hint="default" w:ascii="Times New Roman" w:hAnsi="Times New Roman" w:eastAsia="宋体" w:cs="Times New Roman"/>
          <w:sz w:val="28"/>
          <w:szCs w:val="28"/>
          <w:lang w:val="en-US" w:eastAsia="zh-CN"/>
        </w:rPr>
        <w:t>3.1</w:t>
      </w:r>
      <w:bookmarkEnd w:id="35"/>
      <w:bookmarkEnd w:id="36"/>
      <w:bookmarkEnd w:id="37"/>
      <w:bookmarkEnd w:id="38"/>
      <w:bookmarkEnd w:id="39"/>
      <w:bookmarkEnd w:id="40"/>
      <w:bookmarkEnd w:id="41"/>
      <w:bookmarkEnd w:id="42"/>
      <w:bookmarkEnd w:id="43"/>
      <w:bookmarkEnd w:id="44"/>
      <w:bookmarkEnd w:id="45"/>
      <w:bookmarkEnd w:id="46"/>
      <w:bookmarkEnd w:id="47"/>
      <w:r>
        <w:rPr>
          <w:rFonts w:hint="default" w:ascii="Times New Roman" w:hAnsi="Times New Roman" w:eastAsia="宋体" w:cs="Times New Roman"/>
          <w:sz w:val="28"/>
          <w:szCs w:val="28"/>
          <w:lang w:val="en-US" w:eastAsia="zh-CN"/>
        </w:rPr>
        <w:t xml:space="preserve"> 现场调查</w:t>
      </w:r>
      <w:bookmarkEnd w:id="48"/>
      <w:bookmarkEnd w:id="49"/>
    </w:p>
    <w:p>
      <w:pPr>
        <w:pStyle w:val="6"/>
        <w:bidi w:val="0"/>
        <w:ind w:left="0" w:leftChars="0" w:firstLine="0" w:firstLineChars="0"/>
        <w:rPr>
          <w:rFonts w:hint="default" w:ascii="Times New Roman" w:hAnsi="Times New Roman" w:eastAsia="宋体" w:cs="Times New Roman"/>
          <w:lang w:val="en-US" w:eastAsia="zh-CN"/>
        </w:rPr>
      </w:pPr>
      <w:bookmarkStart w:id="50" w:name="_Toc19741"/>
      <w:bookmarkStart w:id="51" w:name="_Toc31657"/>
      <w:bookmarkStart w:id="52" w:name="_Toc20491"/>
      <w:bookmarkStart w:id="53" w:name="_Toc5461"/>
      <w:bookmarkStart w:id="54" w:name="_Toc7976"/>
      <w:bookmarkStart w:id="55" w:name="_Toc533409840"/>
      <w:bookmarkStart w:id="56" w:name="_Toc19462"/>
      <w:r>
        <w:rPr>
          <w:rFonts w:hint="default" w:ascii="Times New Roman" w:hAnsi="Times New Roman" w:eastAsia="宋体" w:cs="Times New Roman"/>
          <w:lang w:val="en-US" w:eastAsia="zh-CN"/>
        </w:rPr>
        <w:t>3.1.1</w:t>
      </w:r>
      <w:bookmarkEnd w:id="50"/>
      <w:bookmarkEnd w:id="51"/>
      <w:bookmarkEnd w:id="52"/>
      <w:bookmarkEnd w:id="53"/>
      <w:bookmarkEnd w:id="54"/>
      <w:r>
        <w:rPr>
          <w:rFonts w:hint="default" w:ascii="Times New Roman" w:hAnsi="Times New Roman" w:eastAsia="宋体" w:cs="Times New Roman"/>
          <w:lang w:val="en-US" w:eastAsia="zh-CN"/>
        </w:rPr>
        <w:t xml:space="preserve"> 现场调查的工作方法与内容</w:t>
      </w:r>
      <w:bookmarkEnd w:id="55"/>
      <w:bookmarkEnd w:id="56"/>
    </w:p>
    <w:p>
      <w:pPr>
        <w:spacing w:line="480" w:lineRule="exact"/>
        <w:ind w:firstLine="480"/>
        <w:rPr>
          <w:rFonts w:hint="default" w:ascii="Times New Roman" w:hAnsi="Times New Roman" w:cs="Times New Roman"/>
        </w:rPr>
      </w:pPr>
      <w:r>
        <w:rPr>
          <w:rFonts w:hint="default" w:ascii="Times New Roman" w:hAnsi="Times New Roman" w:cs="Times New Roman"/>
        </w:rPr>
        <w:t>本项目现场调查的工作方法包括：</w:t>
      </w:r>
    </w:p>
    <w:p>
      <w:pPr>
        <w:spacing w:line="480" w:lineRule="exact"/>
        <w:ind w:firstLine="480"/>
        <w:rPr>
          <w:rFonts w:hint="default" w:ascii="Times New Roman" w:hAnsi="Times New Roman" w:cs="Times New Roman"/>
        </w:rPr>
      </w:pPr>
      <w:r>
        <w:rPr>
          <w:rFonts w:hint="default" w:ascii="Times New Roman" w:hAnsi="Times New Roman" w:cs="Times New Roman"/>
        </w:rPr>
        <w:t>①从厂区负责人处搜集与本项目相关的资料，包括环评、验收、排污许可、危废流转等相关手续文件；</w:t>
      </w:r>
    </w:p>
    <w:p>
      <w:pPr>
        <w:spacing w:line="480" w:lineRule="exact"/>
        <w:ind w:firstLine="480"/>
        <w:rPr>
          <w:rFonts w:hint="default" w:ascii="Times New Roman" w:hAnsi="Times New Roman" w:cs="Times New Roman"/>
        </w:rPr>
      </w:pPr>
      <w:r>
        <w:rPr>
          <w:rFonts w:hint="default" w:ascii="Times New Roman" w:hAnsi="Times New Roman" w:cs="Times New Roman"/>
        </w:rPr>
        <w:t>②与厂区工作人员进行谈话交流，了解项目地块土地利用历史情况以及周边关系，了解生产期间是否存在废水泄露等环境污染事故；</w:t>
      </w:r>
    </w:p>
    <w:p>
      <w:pPr>
        <w:spacing w:line="480" w:lineRule="exact"/>
        <w:ind w:firstLine="480"/>
        <w:rPr>
          <w:rFonts w:hint="default" w:ascii="Times New Roman" w:hAnsi="Times New Roman" w:cs="Times New Roman"/>
        </w:rPr>
      </w:pPr>
      <w:r>
        <w:rPr>
          <w:rFonts w:hint="default" w:ascii="Times New Roman" w:hAnsi="Times New Roman" w:cs="Times New Roman"/>
        </w:rPr>
        <w:t>③进行现场踏勘，确定生产工艺、生产设施布置、管线形式及走向和废水处理及排放等情况。</w:t>
      </w:r>
    </w:p>
    <w:p>
      <w:pPr>
        <w:pStyle w:val="6"/>
        <w:spacing w:before="0" w:after="0" w:line="480" w:lineRule="exact"/>
        <w:ind w:left="0" w:leftChars="0" w:firstLine="0" w:firstLineChars="0"/>
        <w:rPr>
          <w:rFonts w:hint="default" w:ascii="Times New Roman" w:hAnsi="Times New Roman" w:cs="Times New Roman"/>
          <w:szCs w:val="28"/>
        </w:rPr>
      </w:pPr>
      <w:bookmarkStart w:id="57" w:name="_Toc533409841"/>
      <w:bookmarkStart w:id="58" w:name="_Toc5034"/>
      <w:r>
        <w:rPr>
          <w:rFonts w:hint="default" w:ascii="Times New Roman" w:hAnsi="Times New Roman" w:cs="Times New Roman"/>
          <w:szCs w:val="28"/>
        </w:rPr>
        <w:t>3.1.2</w:t>
      </w:r>
      <w:r>
        <w:rPr>
          <w:rFonts w:hint="default" w:ascii="Times New Roman" w:hAnsi="Times New Roman" w:cs="Times New Roman"/>
          <w:szCs w:val="28"/>
          <w:lang w:val="en-US" w:eastAsia="zh-CN"/>
        </w:rPr>
        <w:t xml:space="preserve"> </w:t>
      </w:r>
      <w:r>
        <w:rPr>
          <w:rFonts w:hint="default" w:ascii="Times New Roman" w:hAnsi="Times New Roman" w:cs="Times New Roman"/>
          <w:szCs w:val="28"/>
        </w:rPr>
        <w:t>现场调查的工作过程</w:t>
      </w:r>
      <w:bookmarkEnd w:id="57"/>
      <w:bookmarkEnd w:id="58"/>
    </w:p>
    <w:p>
      <w:pPr>
        <w:spacing w:line="480" w:lineRule="exact"/>
        <w:ind w:firstLine="480"/>
        <w:rPr>
          <w:rFonts w:hint="default" w:ascii="Times New Roman" w:hAnsi="Times New Roman" w:cs="Times New Roman"/>
        </w:rPr>
      </w:pPr>
      <w:r>
        <w:rPr>
          <w:rFonts w:hint="default" w:ascii="Times New Roman" w:hAnsi="Times New Roman" w:eastAsia="宋体" w:cs="Times New Roman"/>
          <w:color w:val="auto"/>
          <w:lang w:val="en-US" w:eastAsia="zh-CN"/>
        </w:rPr>
        <w:t>2019年11月12</w:t>
      </w:r>
      <w:r>
        <w:rPr>
          <w:rFonts w:hint="default" w:ascii="Times New Roman" w:hAnsi="Times New Roman" w:eastAsia="宋体" w:cs="Times New Roman"/>
          <w:color w:val="auto"/>
        </w:rPr>
        <w:t>日，我公司组织技术人员对现场进行了踏勘，通过现场踏勘和人员访谈，对厂区场地的利用情况有了初步了解</w:t>
      </w:r>
      <w:r>
        <w:rPr>
          <w:rFonts w:hint="default" w:ascii="Times New Roman" w:hAnsi="Times New Roman" w:eastAsia="宋体" w:cs="Times New Roman"/>
          <w:color w:val="auto"/>
          <w:lang w:eastAsia="zh-CN"/>
        </w:rPr>
        <w:t>。兴安液压机械有限公司场地内共有</w:t>
      </w:r>
      <w:r>
        <w:rPr>
          <w:rFonts w:hint="default" w:ascii="Times New Roman" w:hAnsi="Times New Roman" w:eastAsia="宋体" w:cs="Times New Roman"/>
          <w:color w:val="auto"/>
          <w:lang w:val="en-US" w:eastAsia="zh-CN"/>
        </w:rPr>
        <w:t>4处生产车间（镀铬车间、镀铁车间、组装车间和机加工车间）、1处室内污水处理站、1处生化处理站，1处员工生活区及办公楼等。</w:t>
      </w:r>
      <w:r>
        <w:rPr>
          <w:rFonts w:hint="default" w:ascii="Times New Roman" w:hAnsi="Times New Roman" w:cs="Times New Roman"/>
          <w:lang w:val="en-US" w:eastAsia="zh-CN"/>
        </w:rPr>
        <w:t>厂区南部已出租区域原为一处空地，2018年新建简易厂房后出租，目前作为机械组装及仓储等用途。厂区平面布置见图3.1-1。</w:t>
      </w:r>
      <w:r>
        <w:rPr>
          <w:rFonts w:hint="default" w:ascii="Times New Roman" w:hAnsi="Times New Roman" w:cs="Times New Roman"/>
        </w:rPr>
        <w:t>现场踏勘见图3.1-</w:t>
      </w:r>
      <w:r>
        <w:rPr>
          <w:rFonts w:hint="default" w:ascii="Times New Roman" w:hAnsi="Times New Roman" w:cs="Times New Roman"/>
          <w:lang w:val="en-US" w:eastAsia="zh-CN"/>
        </w:rPr>
        <w:t>2</w:t>
      </w:r>
      <w:r>
        <w:rPr>
          <w:rFonts w:hint="default" w:ascii="Times New Roman" w:hAnsi="Times New Roman" w:cs="Times New Roman"/>
        </w:rPr>
        <w:t>。</w:t>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rPr>
        <w:drawing>
          <wp:inline distT="0" distB="0" distL="114300" distR="114300">
            <wp:extent cx="5269230" cy="4518660"/>
            <wp:effectExtent l="0" t="0" r="7620" b="1524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4"/>
                    <a:stretch>
                      <a:fillRect/>
                    </a:stretch>
                  </pic:blipFill>
                  <pic:spPr>
                    <a:xfrm>
                      <a:off x="0" y="0"/>
                      <a:ext cx="5269230" cy="4518660"/>
                    </a:xfrm>
                    <a:prstGeom prst="rect">
                      <a:avLst/>
                    </a:prstGeom>
                    <a:noFill/>
                    <a:ln>
                      <a:noFill/>
                    </a:ln>
                  </pic:spPr>
                </pic:pic>
              </a:graphicData>
            </a:graphic>
          </wp:inline>
        </w:drawing>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图3.1-1  厂区平面布置图</w:t>
      </w:r>
    </w:p>
    <w:tbl>
      <w:tblPr>
        <w:tblStyle w:val="16"/>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snapToGrid w:val="0"/>
                <w:kern w:val="0"/>
                <w:sz w:val="21"/>
                <w:szCs w:val="21"/>
                <w:lang w:eastAsia="zh-CN"/>
              </w:rPr>
              <w:drawing>
                <wp:inline distT="0" distB="0" distL="114300" distR="114300">
                  <wp:extent cx="2545080" cy="1908175"/>
                  <wp:effectExtent l="0" t="0" r="7620" b="15875"/>
                  <wp:docPr id="100" name="图片 15" descr="IMG_20191126_122624"/>
                  <wp:cNvGraphicFramePr/>
                  <a:graphic xmlns:a="http://schemas.openxmlformats.org/drawingml/2006/main">
                    <a:graphicData uri="http://schemas.openxmlformats.org/drawingml/2006/picture">
                      <pic:pic xmlns:pic="http://schemas.openxmlformats.org/drawingml/2006/picture">
                        <pic:nvPicPr>
                          <pic:cNvPr id="100" name="图片 15" descr="IMG_20191126_122624"/>
                          <pic:cNvPicPr/>
                        </pic:nvPicPr>
                        <pic:blipFill>
                          <a:blip r:embed="rId15"/>
                          <a:srcRect l="-125" b="37653"/>
                          <a:stretch>
                            <a:fillRect/>
                          </a:stretch>
                        </pic:blipFill>
                        <pic:spPr>
                          <a:xfrm>
                            <a:off x="0" y="0"/>
                            <a:ext cx="2545080" cy="1908175"/>
                          </a:xfrm>
                          <a:prstGeom prst="rect">
                            <a:avLst/>
                          </a:prstGeom>
                          <a:noFill/>
                          <a:ln>
                            <a:noFill/>
                          </a:ln>
                        </pic:spPr>
                      </pic:pic>
                    </a:graphicData>
                  </a:graphic>
                </wp:inline>
              </w:drawing>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0" name="图片 20" descr="IMG_20191112_1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91112_112709"/>
                          <pic:cNvPicPr>
                            <a:picLocks noChangeAspect="1"/>
                          </pic:cNvPicPr>
                        </pic:nvPicPr>
                        <pic:blipFill>
                          <a:blip r:embed="rId16"/>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机加工车间</w:t>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抛丸、喷漆车间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2" name="图片 22" descr="IMG_20191126_0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91126_092528"/>
                          <pic:cNvPicPr>
                            <a:picLocks noChangeAspect="1"/>
                          </pic:cNvPicPr>
                        </pic:nvPicPr>
                        <pic:blipFill>
                          <a:blip r:embed="rId17"/>
                          <a:stretch>
                            <a:fillRect/>
                          </a:stretch>
                        </pic:blipFill>
                        <pic:spPr>
                          <a:xfrm>
                            <a:off x="0" y="0"/>
                            <a:ext cx="2544445" cy="1908175"/>
                          </a:xfrm>
                          <a:prstGeom prst="rect">
                            <a:avLst/>
                          </a:prstGeom>
                        </pic:spPr>
                      </pic:pic>
                    </a:graphicData>
                  </a:graphic>
                </wp:inline>
              </w:drawing>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3" name="图片 23" descr="IMG_20191126_09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91126_093052"/>
                          <pic:cNvPicPr>
                            <a:picLocks noChangeAspect="1"/>
                          </pic:cNvPicPr>
                        </pic:nvPicPr>
                        <pic:blipFill>
                          <a:blip r:embed="rId18"/>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镀铬车间</w:t>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镀铁车间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4" name="图片 24" descr="IMG_20191112_09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91112_091404"/>
                          <pic:cNvPicPr>
                            <a:picLocks noChangeAspect="1"/>
                          </pic:cNvPicPr>
                        </pic:nvPicPr>
                        <pic:blipFill>
                          <a:blip r:embed="rId19"/>
                          <a:stretch>
                            <a:fillRect/>
                          </a:stretch>
                        </pic:blipFill>
                        <pic:spPr>
                          <a:xfrm>
                            <a:off x="0" y="0"/>
                            <a:ext cx="2544445" cy="1908175"/>
                          </a:xfrm>
                          <a:prstGeom prst="rect">
                            <a:avLst/>
                          </a:prstGeom>
                        </pic:spPr>
                      </pic:pic>
                    </a:graphicData>
                  </a:graphic>
                </wp:inline>
              </w:drawing>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5" name="图片 25" descr="IMG_20191112_09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191112_090903"/>
                          <pic:cNvPicPr>
                            <a:picLocks noChangeAspect="1"/>
                          </pic:cNvPicPr>
                        </pic:nvPicPr>
                        <pic:blipFill>
                          <a:blip r:embed="rId20"/>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污水处理站</w:t>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人员访谈</w:t>
            </w:r>
          </w:p>
        </w:tc>
      </w:tr>
    </w:tbl>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eastAsia="宋体" w:cs="Times New Roman"/>
          <w:b/>
          <w:bCs/>
          <w:color w:val="auto"/>
          <w:lang w:val="en-US" w:eastAsia="zh-CN"/>
        </w:rPr>
        <w:t>图3.1-2  现场踏勘影响资料</w:t>
      </w:r>
    </w:p>
    <w:p>
      <w:pPr>
        <w:pStyle w:val="6"/>
        <w:spacing w:before="0" w:after="0" w:line="480" w:lineRule="exact"/>
        <w:ind w:left="0" w:leftChars="0" w:firstLine="0" w:firstLineChars="0"/>
        <w:rPr>
          <w:rFonts w:hint="default" w:ascii="Times New Roman" w:hAnsi="Times New Roman" w:cs="Times New Roman"/>
          <w:szCs w:val="28"/>
        </w:rPr>
      </w:pPr>
      <w:bookmarkStart w:id="59" w:name="_Toc533409843"/>
      <w:bookmarkStart w:id="60" w:name="_Toc7030"/>
      <w:r>
        <w:rPr>
          <w:rFonts w:hint="default" w:ascii="Times New Roman" w:hAnsi="Times New Roman" w:cs="Times New Roman"/>
          <w:szCs w:val="28"/>
        </w:rPr>
        <w:t>3.1.</w:t>
      </w:r>
      <w:r>
        <w:rPr>
          <w:rFonts w:hint="default" w:ascii="Times New Roman" w:hAnsi="Times New Roman" w:cs="Times New Roman"/>
          <w:szCs w:val="28"/>
          <w:lang w:val="en-US" w:eastAsia="zh-CN"/>
        </w:rPr>
        <w:t>3</w:t>
      </w:r>
      <w:r>
        <w:rPr>
          <w:rFonts w:hint="default" w:ascii="Times New Roman" w:hAnsi="Times New Roman" w:cs="Times New Roman"/>
          <w:szCs w:val="28"/>
        </w:rPr>
        <w:t xml:space="preserve"> 功能区布局</w:t>
      </w:r>
      <w:bookmarkEnd w:id="59"/>
      <w:bookmarkEnd w:id="60"/>
    </w:p>
    <w:p>
      <w:pPr>
        <w:pStyle w:val="3"/>
        <w:bidi w:val="0"/>
        <w:ind w:left="0" w:leftChars="0" w:firstLine="0" w:firstLineChars="0"/>
        <w:rPr>
          <w:rFonts w:hint="default" w:ascii="Times New Roman" w:hAnsi="Times New Roman" w:eastAsia="宋体" w:cs="Times New Roman"/>
          <w:b w:val="0"/>
          <w:kern w:val="0"/>
          <w:sz w:val="24"/>
          <w:szCs w:val="24"/>
          <w:lang w:val="en-US" w:eastAsia="zh-CN" w:bidi="ar"/>
        </w:rPr>
      </w:pPr>
      <w:r>
        <w:rPr>
          <w:rFonts w:hint="default" w:ascii="Times New Roman" w:hAnsi="Times New Roman" w:eastAsia="宋体" w:cs="Times New Roman"/>
          <w:b w:val="0"/>
          <w:kern w:val="0"/>
          <w:sz w:val="24"/>
          <w:szCs w:val="24"/>
          <w:lang w:val="en-US" w:eastAsia="zh-CN" w:bidi="ar"/>
        </w:rPr>
        <w:t>3.1.3.1 功能区划分原则</w:t>
      </w:r>
    </w:p>
    <w:p>
      <w:pPr>
        <w:spacing w:line="480" w:lineRule="exact"/>
        <w:ind w:firstLine="480"/>
        <w:rPr>
          <w:rFonts w:hint="default" w:ascii="Times New Roman" w:hAnsi="Times New Roman" w:cs="Times New Roman"/>
        </w:rPr>
      </w:pPr>
      <w:r>
        <w:rPr>
          <w:rFonts w:hint="default" w:ascii="Times New Roman" w:hAnsi="Times New Roman" w:cs="Times New Roman"/>
        </w:rPr>
        <w:t>原则上功能区的划分应以场地内土地使用功能为划分依据，主要包括生产区、办公区及生活区。其中生产区的地块划分应以构筑物或生产工艺为单元，大体包括生产区及产品储库、废水处理及废渣贮存场以及其他辅助设施。对于土地使用功能相近、单元面积较小的生产区也可将几个单元合并成一个监测地块。</w:t>
      </w:r>
    </w:p>
    <w:p>
      <w:pPr>
        <w:pStyle w:val="3"/>
        <w:bidi w:val="0"/>
        <w:ind w:left="0" w:leftChars="0" w:firstLine="0" w:firstLineChars="0"/>
        <w:rPr>
          <w:rFonts w:hint="default" w:ascii="Times New Roman" w:hAnsi="Times New Roman" w:eastAsia="宋体" w:cs="Times New Roman"/>
          <w:b w:val="0"/>
          <w:kern w:val="0"/>
          <w:sz w:val="24"/>
          <w:szCs w:val="24"/>
          <w:lang w:val="en-US" w:eastAsia="zh-CN" w:bidi="ar"/>
        </w:rPr>
      </w:pPr>
      <w:r>
        <w:rPr>
          <w:rFonts w:hint="default" w:ascii="Times New Roman" w:hAnsi="Times New Roman" w:eastAsia="宋体" w:cs="Times New Roman"/>
          <w:b w:val="0"/>
          <w:kern w:val="0"/>
          <w:sz w:val="24"/>
          <w:szCs w:val="24"/>
          <w:lang w:val="en-US" w:eastAsia="zh-CN" w:bidi="ar"/>
        </w:rPr>
        <w:t>3.1.3.2 各功能区分布情况</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邢台兴安液压机械有限公司</w:t>
      </w:r>
      <w:r>
        <w:rPr>
          <w:rFonts w:hint="default" w:ascii="Times New Roman" w:hAnsi="Times New Roman" w:eastAsia="宋体" w:cs="Times New Roman"/>
          <w:color w:val="auto"/>
        </w:rPr>
        <w:t>厂区在结合功能区划分原则的基础上，根据项目生产布局实际情况，将整个厂区分为</w:t>
      </w:r>
      <w:r>
        <w:rPr>
          <w:rFonts w:hint="default" w:ascii="Times New Roman" w:hAnsi="Times New Roman" w:eastAsia="宋体" w:cs="Times New Roman"/>
          <w:color w:val="auto"/>
          <w:lang w:eastAsia="zh-CN"/>
        </w:rPr>
        <w:t>生产区、污水站区和办公、外租区。</w:t>
      </w:r>
      <w:r>
        <w:rPr>
          <w:rFonts w:hint="default" w:ascii="Times New Roman" w:hAnsi="Times New Roman" w:eastAsia="宋体" w:cs="Times New Roman"/>
          <w:color w:val="auto"/>
        </w:rPr>
        <w:t>具体分布情况见图3.1-3所示。</w:t>
      </w:r>
    </w:p>
    <w:p>
      <w:pPr>
        <w:pStyle w:val="14"/>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rPr>
      </w:pPr>
      <w:r>
        <w:rPr>
          <w:rFonts w:hint="default" w:ascii="Times New Roman" w:hAnsi="Times New Roman" w:cs="Times New Roman"/>
        </w:rPr>
        <w:drawing>
          <wp:inline distT="0" distB="0" distL="114300" distR="114300">
            <wp:extent cx="5267960" cy="4488815"/>
            <wp:effectExtent l="0" t="0" r="8890" b="6985"/>
            <wp:docPr id="1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
                    <pic:cNvPicPr>
                      <a:picLocks noChangeAspect="1"/>
                    </pic:cNvPicPr>
                  </pic:nvPicPr>
                  <pic:blipFill>
                    <a:blip r:embed="rId21"/>
                    <a:stretch>
                      <a:fillRect/>
                    </a:stretch>
                  </pic:blipFill>
                  <pic:spPr>
                    <a:xfrm>
                      <a:off x="0" y="0"/>
                      <a:ext cx="5267960" cy="4488815"/>
                    </a:xfrm>
                    <a:prstGeom prst="rect">
                      <a:avLst/>
                    </a:prstGeom>
                    <a:noFill/>
                    <a:ln>
                      <a:noFill/>
                    </a:ln>
                  </pic:spPr>
                </pic:pic>
              </a:graphicData>
            </a:graphic>
          </wp:inline>
        </w:drawing>
      </w:r>
    </w:p>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sz w:val="24"/>
          <w:szCs w:val="24"/>
        </w:rPr>
        <w:t>图3.1-3  调查地块功能区划分</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61" w:name="_Toc9893"/>
      <w:bookmarkStart w:id="62" w:name="_Toc22426"/>
      <w:r>
        <w:rPr>
          <w:rFonts w:hint="default" w:ascii="Times New Roman" w:hAnsi="Times New Roman" w:eastAsia="宋体" w:cs="Times New Roman"/>
          <w:color w:val="auto"/>
          <w:sz w:val="28"/>
          <w:szCs w:val="28"/>
          <w:lang w:val="en-US" w:eastAsia="zh-CN"/>
        </w:rPr>
        <w:t>3.2 生产工艺及污染物排放情况</w:t>
      </w:r>
      <w:bookmarkEnd w:id="61"/>
      <w:bookmarkEnd w:id="62"/>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63" w:name="_Toc15306"/>
      <w:bookmarkStart w:id="64" w:name="_Toc6536"/>
      <w:r>
        <w:rPr>
          <w:rFonts w:hint="default" w:ascii="Times New Roman" w:hAnsi="Times New Roman" w:eastAsia="宋体" w:cs="Times New Roman"/>
          <w:color w:val="auto"/>
          <w:lang w:val="en-US" w:eastAsia="zh-CN"/>
        </w:rPr>
        <w:t>3.2.1 原辅材料</w:t>
      </w:r>
      <w:bookmarkEnd w:id="63"/>
      <w:bookmarkEnd w:id="64"/>
    </w:p>
    <w:p>
      <w:pPr>
        <w:keepNext w:val="0"/>
        <w:keepLines w:val="0"/>
        <w:pageBreakBefore w:val="0"/>
        <w:widowControl/>
        <w:suppressLineNumbers w:val="0"/>
        <w:kinsoku/>
        <w:wordWrap/>
        <w:overflowPunct/>
        <w:topLinePunct w:val="0"/>
        <w:autoSpaceDE/>
        <w:autoSpaceDN/>
        <w:bidi w:val="0"/>
        <w:spacing w:line="360" w:lineRule="auto"/>
        <w:jc w:val="left"/>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szCs w:val="24"/>
          <w:lang w:eastAsia="zh-CN"/>
        </w:rPr>
        <w:t>邢台兴安液压机械有限公司是专业从事矿用综采工作面液压支架立柱、千斤顶修复及配件加工的企业。</w:t>
      </w:r>
      <w:r>
        <w:rPr>
          <w:rFonts w:hint="default" w:ascii="Times New Roman" w:hAnsi="Times New Roman" w:eastAsia="宋体" w:cs="Times New Roman"/>
          <w:color w:val="auto"/>
          <w:kern w:val="0"/>
          <w:sz w:val="24"/>
          <w:szCs w:val="24"/>
          <w:lang w:val="en-US" w:eastAsia="zh-CN" w:bidi="ar"/>
        </w:rPr>
        <w:t>主要生产原辅材料为铁板、氯化亚铁、氯化钠、铬酐、氢氧化钠和盐酸等。主要原辅材料理化性质见表3.2-1。</w:t>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both"/>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表3.2-1  主要原辅材料理化性质一览表</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59"/>
        <w:gridCol w:w="73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53" w:hRule="atLeast"/>
          <w:tblHeader/>
          <w:jc w:val="center"/>
        </w:trPr>
        <w:tc>
          <w:tcPr>
            <w:tcW w:w="85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原材料</w:t>
            </w:r>
          </w:p>
        </w:tc>
        <w:tc>
          <w:tcPr>
            <w:tcW w:w="73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理化性质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14" w:hRule="atLeast"/>
          <w:jc w:val="center"/>
        </w:trPr>
        <w:tc>
          <w:tcPr>
            <w:tcW w:w="85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铬酸酐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(铬酐)</w:t>
            </w:r>
          </w:p>
        </w:tc>
        <w:tc>
          <w:tcPr>
            <w:tcW w:w="73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分子式：CrO</w:t>
            </w:r>
            <w:r>
              <w:rPr>
                <w:rFonts w:hint="default" w:ascii="Times New Roman" w:hAnsi="Times New Roman" w:eastAsia="宋体" w:cs="Times New Roman"/>
                <w:color w:val="auto"/>
                <w:spacing w:val="-10"/>
                <w:sz w:val="21"/>
                <w:szCs w:val="21"/>
                <w:vertAlign w:val="subscript"/>
              </w:rPr>
              <w:t>3</w:t>
            </w:r>
            <w:r>
              <w:rPr>
                <w:rFonts w:hint="default" w:ascii="Times New Roman" w:hAnsi="Times New Roman" w:eastAsia="宋体" w:cs="Times New Roman"/>
                <w:color w:val="auto"/>
                <w:spacing w:val="-10"/>
                <w:sz w:val="21"/>
                <w:szCs w:val="21"/>
              </w:rPr>
              <w:t>；结构式：</w:t>
            </w:r>
            <w:r>
              <w:rPr>
                <w:rFonts w:hint="default" w:ascii="Times New Roman" w:hAnsi="Times New Roman" w:eastAsia="宋体" w:cs="Times New Roman"/>
                <w:color w:val="auto"/>
                <w:sz w:val="21"/>
                <w:szCs w:val="21"/>
              </w:rPr>
              <w:drawing>
                <wp:inline distT="0" distB="0" distL="114300" distR="114300">
                  <wp:extent cx="309880" cy="286385"/>
                  <wp:effectExtent l="0" t="0" r="13970" b="18415"/>
                  <wp:docPr id="33" name="图片 21" descr="3053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305360_1"/>
                          <pic:cNvPicPr>
                            <a:picLocks noChangeAspect="1"/>
                          </pic:cNvPicPr>
                        </pic:nvPicPr>
                        <pic:blipFill>
                          <a:blip r:embed="rId22"/>
                          <a:stretch>
                            <a:fillRect/>
                          </a:stretch>
                        </pic:blipFill>
                        <pic:spPr>
                          <a:xfrm>
                            <a:off x="0" y="0"/>
                            <a:ext cx="309880" cy="286385"/>
                          </a:xfrm>
                          <a:prstGeom prst="rect">
                            <a:avLst/>
                          </a:prstGeom>
                          <a:noFill/>
                          <a:ln>
                            <a:noFill/>
                          </a:ln>
                        </pic:spPr>
                      </pic:pic>
                    </a:graphicData>
                  </a:graphic>
                </wp:inline>
              </w:drawing>
            </w:r>
            <w:r>
              <w:rPr>
                <w:rFonts w:hint="default" w:ascii="Times New Roman" w:hAnsi="Times New Roman" w:eastAsia="宋体" w:cs="Times New Roman"/>
                <w:color w:val="auto"/>
                <w:spacing w:val="-10"/>
                <w:sz w:val="21"/>
                <w:szCs w:val="21"/>
              </w:rPr>
              <w:t>分子量：100.01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外观与性状：暗红色或暗紫色斜方结晶，易潮解；熔点196℃；溶于水、</w:t>
            </w:r>
            <w:r>
              <w:rPr>
                <w:rFonts w:hint="default" w:ascii="Times New Roman" w:hAnsi="Times New Roman" w:eastAsia="宋体" w:cs="Times New Roman"/>
                <w:color w:val="auto"/>
                <w:spacing w:val="-10"/>
                <w:sz w:val="21"/>
                <w:szCs w:val="21"/>
              </w:rPr>
              <w:fldChar w:fldCharType="begin"/>
            </w:r>
            <w:r>
              <w:rPr>
                <w:rFonts w:hint="default" w:ascii="Times New Roman" w:hAnsi="Times New Roman" w:eastAsia="宋体" w:cs="Times New Roman"/>
                <w:color w:val="auto"/>
                <w:spacing w:val="-10"/>
                <w:sz w:val="21"/>
                <w:szCs w:val="21"/>
              </w:rPr>
              <w:instrText xml:space="preserve"> HYPERLINK "http://baike.baidu.com/view/1730.htm" \t "_blank" </w:instrText>
            </w:r>
            <w:r>
              <w:rPr>
                <w:rFonts w:hint="default" w:ascii="Times New Roman" w:hAnsi="Times New Roman" w:eastAsia="宋体" w:cs="Times New Roman"/>
                <w:color w:val="auto"/>
                <w:spacing w:val="-10"/>
                <w:sz w:val="21"/>
                <w:szCs w:val="21"/>
              </w:rPr>
              <w:fldChar w:fldCharType="separate"/>
            </w:r>
            <w:r>
              <w:rPr>
                <w:rStyle w:val="18"/>
                <w:rFonts w:hint="default" w:ascii="Times New Roman" w:hAnsi="Times New Roman" w:eastAsia="宋体" w:cs="Times New Roman"/>
                <w:color w:val="auto"/>
                <w:spacing w:val="-10"/>
                <w:sz w:val="21"/>
                <w:szCs w:val="21"/>
                <w:u w:val="none"/>
              </w:rPr>
              <w:t>硫酸</w:t>
            </w:r>
            <w:r>
              <w:rPr>
                <w:rFonts w:hint="default" w:ascii="Times New Roman" w:hAnsi="Times New Roman" w:eastAsia="宋体" w:cs="Times New Roman"/>
                <w:color w:val="auto"/>
                <w:spacing w:val="-10"/>
                <w:sz w:val="21"/>
                <w:szCs w:val="21"/>
              </w:rPr>
              <w:fldChar w:fldCharType="end"/>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color w:val="auto"/>
                <w:spacing w:val="-10"/>
                <w:sz w:val="21"/>
                <w:szCs w:val="21"/>
              </w:rPr>
              <w:fldChar w:fldCharType="begin"/>
            </w:r>
            <w:r>
              <w:rPr>
                <w:rFonts w:hint="default" w:ascii="Times New Roman" w:hAnsi="Times New Roman" w:eastAsia="宋体" w:cs="Times New Roman"/>
                <w:color w:val="auto"/>
                <w:spacing w:val="-10"/>
                <w:sz w:val="21"/>
                <w:szCs w:val="21"/>
              </w:rPr>
              <w:instrText xml:space="preserve"> HYPERLINK "http://baike.baidu.com/view/48841.htm" \t "_blank" </w:instrText>
            </w:r>
            <w:r>
              <w:rPr>
                <w:rFonts w:hint="default" w:ascii="Times New Roman" w:hAnsi="Times New Roman" w:eastAsia="宋体" w:cs="Times New Roman"/>
                <w:color w:val="auto"/>
                <w:spacing w:val="-10"/>
                <w:sz w:val="21"/>
                <w:szCs w:val="21"/>
              </w:rPr>
              <w:fldChar w:fldCharType="separate"/>
            </w:r>
            <w:r>
              <w:rPr>
                <w:rStyle w:val="18"/>
                <w:rFonts w:hint="default" w:ascii="Times New Roman" w:hAnsi="Times New Roman" w:eastAsia="宋体" w:cs="Times New Roman"/>
                <w:color w:val="auto"/>
                <w:spacing w:val="-10"/>
                <w:sz w:val="21"/>
                <w:szCs w:val="21"/>
                <w:u w:val="none"/>
              </w:rPr>
              <w:t>硝酸</w:t>
            </w:r>
            <w:r>
              <w:rPr>
                <w:rFonts w:hint="default" w:ascii="Times New Roman" w:hAnsi="Times New Roman" w:eastAsia="宋体" w:cs="Times New Roman"/>
                <w:color w:val="auto"/>
                <w:spacing w:val="-10"/>
                <w:sz w:val="21"/>
                <w:szCs w:val="21"/>
              </w:rPr>
              <w:fldChar w:fldCharType="end"/>
            </w:r>
            <w:r>
              <w:rPr>
                <w:rFonts w:hint="default" w:ascii="Times New Roman" w:hAnsi="Times New Roman" w:eastAsia="宋体" w:cs="Times New Roman"/>
                <w:color w:val="auto"/>
                <w:spacing w:val="-10"/>
                <w:sz w:val="21"/>
                <w:szCs w:val="21"/>
              </w:rPr>
              <w:t>；相对密度2.70；稳定。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危险标记11(氧化剂)，20(腐蚀品)；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主要用途：用于电镀、医药、印刷等工业、鞣革和织物媒染。</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健康危害(侵入途径)：吸入、食入、经皮吸收，属高毒类，LD</w:t>
            </w:r>
            <w:r>
              <w:rPr>
                <w:rFonts w:hint="default" w:ascii="Times New Roman" w:hAnsi="Times New Roman" w:eastAsia="宋体" w:cs="Times New Roman"/>
                <w:color w:val="auto"/>
                <w:spacing w:val="-10"/>
                <w:sz w:val="21"/>
                <w:szCs w:val="21"/>
                <w:vertAlign w:val="subscript"/>
              </w:rPr>
              <w:t>50</w:t>
            </w:r>
            <w:r>
              <w:rPr>
                <w:rFonts w:hint="default" w:ascii="Times New Roman" w:hAnsi="Times New Roman" w:eastAsia="宋体" w:cs="Times New Roman"/>
                <w:color w:val="auto"/>
                <w:spacing w:val="-10"/>
                <w:sz w:val="21"/>
                <w:szCs w:val="21"/>
                <w:vertAlign w:val="subscript"/>
                <w:lang w:val="en-US" w:eastAsia="zh-CN"/>
              </w:rPr>
              <w:t xml:space="preserve"> </w:t>
            </w:r>
            <w:r>
              <w:rPr>
                <w:rFonts w:hint="default" w:ascii="Times New Roman" w:hAnsi="Times New Roman" w:eastAsia="宋体" w:cs="Times New Roman"/>
                <w:color w:val="auto"/>
                <w:spacing w:val="-10"/>
                <w:sz w:val="21"/>
                <w:szCs w:val="21"/>
              </w:rPr>
              <w:t>80mg/kg(大鼠经口)。</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性中毒：吸入后可引起急性呼吸道刺激症状、鼻出血、声音嘶哑、鼻粘膜萎缩，有时出现哮喘和紫绀。重者可发生化学性肺炎。口服可刺激和腐蚀消化道，引起恶心、呕吐、腹痛、血便等；重者出现呼吸困难、紫绀、休克、肝损害及急性肾功能衰竭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致突变性：微粒体诱变实验：鼠伤寒沙门氏菌10μg／皿。</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微生物致突变：鼠伤寒沙门氏菌50</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μmol／L；大肠杆菌8</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μmol／L。</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生殖毒性：小鼠皮下注射最低中毒剂量(TDL0)：20mg.kg(孕8天)，对胚胎外结构有影响(胚胎、脐带)；胚胎发育迟缓。致癌性：IARC致癌性评论：人和动物均有充分证据，人类致癌物。</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特性：强氧化剂。与易燃物(如苯)和可燃物(如糖、纤维素等)接触会发生剧烈反应，甚至引起燃烧。与还原性物质如镁粉、铝粉、硫、磷等混合后，经摩擦或撞击，能引起燃烧或爆炸。具有较强的腐蚀性。燃烧(分解)产物：可能产生有害的毒性烟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85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pacing w:val="-10"/>
                <w:sz w:val="21"/>
                <w:szCs w:val="21"/>
                <w:lang w:eastAsia="zh-CN"/>
              </w:rPr>
            </w:pPr>
            <w:r>
              <w:rPr>
                <w:rFonts w:hint="default" w:ascii="Times New Roman" w:hAnsi="Times New Roman" w:eastAsia="宋体" w:cs="Times New Roman"/>
                <w:color w:val="auto"/>
                <w:spacing w:val="-10"/>
                <w:sz w:val="21"/>
                <w:szCs w:val="21"/>
                <w:lang w:eastAsia="zh-CN"/>
              </w:rPr>
              <w:t>氯化亚铁</w:t>
            </w:r>
          </w:p>
        </w:tc>
        <w:tc>
          <w:tcPr>
            <w:tcW w:w="73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eastAsia="zh-CN"/>
              </w:rPr>
              <w:t>白色或灰绿色结晶，易吸湿。在空气中易被氧化而渐变成黄色。在氯化氢气流中约</w:t>
            </w:r>
            <w:r>
              <w:rPr>
                <w:rFonts w:hint="default" w:ascii="Times New Roman" w:hAnsi="Times New Roman" w:eastAsia="宋体" w:cs="Times New Roman"/>
                <w:color w:val="auto"/>
                <w:spacing w:val="-10"/>
                <w:sz w:val="21"/>
                <w:szCs w:val="21"/>
                <w:lang w:val="en-US" w:eastAsia="zh-CN"/>
              </w:rPr>
              <w:t>700</w:t>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color w:val="auto"/>
                <w:spacing w:val="-10"/>
                <w:sz w:val="21"/>
                <w:szCs w:val="21"/>
                <w:lang w:eastAsia="zh-CN"/>
              </w:rPr>
              <w:t>升华。易溶于水。微溶于丙酮及苯，不溶于乙醚。</w:t>
            </w:r>
            <w:r>
              <w:rPr>
                <w:rFonts w:hint="default" w:ascii="Times New Roman" w:hAnsi="Times New Roman" w:eastAsia="宋体" w:cs="Times New Roman"/>
                <w:color w:val="auto"/>
                <w:spacing w:val="-10"/>
                <w:sz w:val="21"/>
                <w:szCs w:val="21"/>
                <w:lang w:val="en-US" w:eastAsia="zh-CN"/>
              </w:rPr>
              <w:t>FeCl</w:t>
            </w:r>
            <w:r>
              <w:rPr>
                <w:rFonts w:hint="default" w:ascii="Times New Roman" w:hAnsi="Times New Roman" w:eastAsia="宋体" w:cs="Times New Roman"/>
                <w:color w:val="auto"/>
                <w:spacing w:val="-10"/>
                <w:sz w:val="21"/>
                <w:szCs w:val="21"/>
                <w:vertAlign w:val="subscript"/>
                <w:lang w:val="en-US" w:eastAsia="zh-CN"/>
              </w:rPr>
              <w:t>2</w:t>
            </w:r>
            <w:r>
              <w:rPr>
                <w:rFonts w:hint="default" w:ascii="Times New Roman" w:hAnsi="Times New Roman" w:eastAsia="宋体" w:cs="Times New Roman"/>
                <w:color w:val="auto"/>
                <w:spacing w:val="-10"/>
                <w:sz w:val="21"/>
                <w:szCs w:val="21"/>
                <w:lang w:val="en-US" w:eastAsia="zh-CN"/>
              </w:rPr>
              <w:t>.4H</w:t>
            </w:r>
            <w:r>
              <w:rPr>
                <w:rFonts w:hint="default" w:ascii="Times New Roman" w:hAnsi="Times New Roman" w:eastAsia="宋体" w:cs="Times New Roman"/>
                <w:color w:val="auto"/>
                <w:spacing w:val="-10"/>
                <w:sz w:val="21"/>
                <w:szCs w:val="21"/>
                <w:vertAlign w:val="subscript"/>
                <w:lang w:val="en-US" w:eastAsia="zh-CN"/>
              </w:rPr>
              <w:t>2</w:t>
            </w:r>
            <w:r>
              <w:rPr>
                <w:rFonts w:hint="default" w:ascii="Times New Roman" w:hAnsi="Times New Roman" w:eastAsia="宋体" w:cs="Times New Roman"/>
                <w:color w:val="auto"/>
                <w:spacing w:val="-10"/>
                <w:sz w:val="21"/>
                <w:szCs w:val="21"/>
                <w:lang w:val="en-US" w:eastAsia="zh-CN"/>
              </w:rPr>
              <w:t>O为蓝绿色单斜晶体。密度93g/cm</w:t>
            </w:r>
            <w:r>
              <w:rPr>
                <w:rFonts w:hint="default" w:ascii="Times New Roman" w:hAnsi="Times New Roman" w:eastAsia="宋体" w:cs="Times New Roman"/>
                <w:color w:val="auto"/>
                <w:spacing w:val="-10"/>
                <w:sz w:val="21"/>
                <w:szCs w:val="21"/>
                <w:vertAlign w:val="superscript"/>
                <w:lang w:val="en-US" w:eastAsia="zh-CN"/>
              </w:rPr>
              <w:t>3</w:t>
            </w:r>
            <w:r>
              <w:rPr>
                <w:rFonts w:hint="default" w:ascii="Times New Roman" w:hAnsi="Times New Roman" w:eastAsia="宋体" w:cs="Times New Roman"/>
                <w:color w:val="auto"/>
                <w:spacing w:val="-10"/>
                <w:sz w:val="21"/>
                <w:szCs w:val="21"/>
                <w:lang w:val="en-US" w:eastAsia="zh-CN"/>
              </w:rPr>
              <w:t>。无水氯化亚铁为黄绿色，吸湿性晶体溶于水后形成浅绿色溶液。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8" w:hRule="atLeast"/>
          <w:jc w:val="center"/>
        </w:trPr>
        <w:tc>
          <w:tcPr>
            <w:tcW w:w="85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液碱</w:t>
            </w:r>
          </w:p>
        </w:tc>
        <w:tc>
          <w:tcPr>
            <w:tcW w:w="736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予式为NaOH，分子量40，无色或淡监色液体，有滑腻感，呈强碱性，对皮肤、织物等有强腐蚀性，粉尘或烟雾刺激眼和呼吸道，腐蚀鼻中隔、皮肤和眼，直接接触可引起灼烧，误服可造成消化道灼伤、粘膜糜烂、出血和休克。广泛用于造纸，有机合成、化工、纺织、人造丝、医药、冶金、精练石油、制皂、提炼煤焦油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96" w:hRule="atLeast"/>
          <w:jc w:val="center"/>
        </w:trPr>
        <w:tc>
          <w:tcPr>
            <w:tcW w:w="85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盐酸</w:t>
            </w:r>
          </w:p>
        </w:tc>
        <w:tc>
          <w:tcPr>
            <w:tcW w:w="73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二级无机酸，在空气中发烟，有刺激性气味，纯盐酸比重1.40，熔点-111</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沸点．83℃，有毒，和许多金属反应放出氢气，溶于水，乙醇和乙醚，常温下易挥发。用途：钢材酸洗、阳离子交换树脂再生、纺织业中用于漂白和印染助剂、配制电解液、在食品工业中生产酱油、味精等调味品的原料。危险性特性：无水氯化氢无腐蚀性，但遇水有强的腐蚀性，能与一些活泼金属粉末发生反应，放出氢气。</w:t>
            </w:r>
          </w:p>
        </w:tc>
      </w:tr>
    </w:tbl>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65" w:name="_Toc4691"/>
      <w:bookmarkStart w:id="66" w:name="_Toc24033"/>
      <w:r>
        <w:rPr>
          <w:rFonts w:hint="default" w:ascii="Times New Roman" w:hAnsi="Times New Roman" w:eastAsia="宋体" w:cs="Times New Roman"/>
          <w:color w:val="auto"/>
          <w:lang w:val="en-US" w:eastAsia="zh-CN"/>
        </w:rPr>
        <w:t>3.2.2 生产工艺</w:t>
      </w:r>
      <w:bookmarkEnd w:id="65"/>
      <w:bookmarkEnd w:id="66"/>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邢台兴安液压机械有限公司主要生产工序包括来料粗加工、镀铁、精加工、镀铬及抛光等工序。</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3.2.2.1 粗加工</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来料由汽车运输进场，送机加工车间利用磨床、车床等设备对液压支架进行粗加工，即首先拆解后进行机床加工处理。拆解过程：利用天车把支架顶盖吊开，然后将立柱、千斤顶以及各种小件吊出。用压力机把护帮板和侧护板进行整形处理，用拆柱机把立柱、千斤顶拆开。用压力机把弯的活塞杆进行校直处理，最后利用外圆磨床把活柱和活塞杆表面上的划痕和麻坑磨去。粗加工的加工量较大，目的是彻底去除工作表面的氧化层和破损层。部分损害严重的液压支架需要利用钻床及铣床进行钻孔及键槽等关键部位的修复。</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工序污染源主要为各类的机床噪声（N1）、机加工下脚料（S1）、废润滑油（S2）及废乳化液（S3）。其中各种加工机床采用基础减震和厂房噪声的降噪措施，下脚料外售钢厂做烧结原料，废润滑油及废乳化液送有资质的危废处置单位处理。</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3.2.2.2 镀铁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镀铁</w:t>
      </w:r>
      <w:r>
        <w:rPr>
          <w:rFonts w:hint="default" w:ascii="Times New Roman" w:hAnsi="Times New Roman" w:eastAsia="宋体" w:cs="Times New Roman"/>
          <w:bCs/>
          <w:color w:val="auto"/>
          <w:sz w:val="24"/>
          <w:szCs w:val="24"/>
        </w:rPr>
        <w:t>生产过程主要包括</w:t>
      </w:r>
      <w:r>
        <w:rPr>
          <w:rFonts w:hint="default" w:ascii="Times New Roman" w:hAnsi="Times New Roman" w:eastAsia="宋体" w:cs="Times New Roman"/>
          <w:bCs/>
          <w:color w:val="auto"/>
          <w:sz w:val="24"/>
          <w:szCs w:val="24"/>
          <w:lang w:eastAsia="zh-CN"/>
        </w:rPr>
        <w:t>电解</w:t>
      </w:r>
      <w:r>
        <w:rPr>
          <w:rFonts w:hint="default" w:ascii="Times New Roman" w:hAnsi="Times New Roman" w:eastAsia="宋体" w:cs="Times New Roman"/>
          <w:bCs/>
          <w:color w:val="auto"/>
          <w:sz w:val="24"/>
          <w:szCs w:val="24"/>
        </w:rPr>
        <w:t>除油、活化、镀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、回收</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水洗等主要工序。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）电解</w:t>
      </w:r>
      <w:r>
        <w:rPr>
          <w:rFonts w:hint="default" w:ascii="Times New Roman" w:hAnsi="Times New Roman" w:eastAsia="宋体" w:cs="Times New Roman"/>
          <w:bCs/>
          <w:color w:val="auto"/>
          <w:sz w:val="24"/>
          <w:szCs w:val="24"/>
        </w:rPr>
        <w:t>除油</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首先对镀件</w:t>
      </w:r>
      <w:r>
        <w:rPr>
          <w:rFonts w:hint="default" w:ascii="Times New Roman" w:hAnsi="Times New Roman" w:eastAsia="宋体" w:cs="Times New Roman"/>
          <w:bCs/>
          <w:color w:val="auto"/>
          <w:sz w:val="24"/>
          <w:szCs w:val="24"/>
          <w:lang w:eastAsia="zh-CN"/>
        </w:rPr>
        <w:t>进行电解除油</w:t>
      </w:r>
      <w:r>
        <w:rPr>
          <w:rFonts w:hint="default" w:ascii="Times New Roman" w:hAnsi="Times New Roman" w:eastAsia="宋体" w:cs="Times New Roman"/>
          <w:bCs/>
          <w:color w:val="auto"/>
          <w:sz w:val="24"/>
          <w:szCs w:val="24"/>
        </w:rPr>
        <w:t>处理，即将</w:t>
      </w:r>
      <w:r>
        <w:rPr>
          <w:rFonts w:hint="default" w:ascii="Times New Roman" w:hAnsi="Times New Roman" w:eastAsia="宋体" w:cs="Times New Roman"/>
          <w:bCs/>
          <w:color w:val="auto"/>
          <w:sz w:val="24"/>
          <w:szCs w:val="24"/>
          <w:lang w:eastAsia="zh-CN"/>
        </w:rPr>
        <w:t>镀件挂入于</w:t>
      </w:r>
      <w:r>
        <w:rPr>
          <w:rFonts w:hint="default" w:ascii="Times New Roman" w:hAnsi="Times New Roman" w:eastAsia="宋体" w:cs="Times New Roman"/>
          <w:bCs/>
          <w:color w:val="auto"/>
          <w:sz w:val="24"/>
          <w:szCs w:val="24"/>
        </w:rPr>
        <w:t>放置于盛有浓度1～3%氢氧化钠溶液的碱洗槽中</w:t>
      </w:r>
      <w:r>
        <w:rPr>
          <w:rFonts w:hint="default" w:ascii="Times New Roman" w:hAnsi="Times New Roman" w:eastAsia="宋体" w:cs="Times New Roman"/>
          <w:bCs/>
          <w:color w:val="auto"/>
          <w:sz w:val="24"/>
          <w:szCs w:val="24"/>
          <w:lang w:eastAsia="zh-CN"/>
        </w:rPr>
        <w:t>通电</w:t>
      </w:r>
      <w:r>
        <w:rPr>
          <w:rFonts w:hint="default" w:ascii="Times New Roman" w:hAnsi="Times New Roman" w:eastAsia="宋体" w:cs="Times New Roman"/>
          <w:bCs/>
          <w:color w:val="auto"/>
          <w:sz w:val="24"/>
          <w:szCs w:val="24"/>
        </w:rPr>
        <w:t>，去除其表面油污。槽内碱洗液</w:t>
      </w:r>
      <w:r>
        <w:rPr>
          <w:rFonts w:hint="default" w:ascii="Times New Roman" w:hAnsi="Times New Roman" w:eastAsia="宋体" w:cs="Times New Roman"/>
          <w:bCs/>
          <w:color w:val="auto"/>
          <w:sz w:val="24"/>
          <w:szCs w:val="24"/>
          <w:lang w:eastAsia="zh-CN"/>
        </w:rPr>
        <w:t>以电极为热源，温度控制在</w:t>
      </w:r>
      <w:r>
        <w:rPr>
          <w:rFonts w:hint="default" w:ascii="Times New Roman" w:hAnsi="Times New Roman" w:eastAsia="宋体" w:cs="Times New Roman"/>
          <w:bCs/>
          <w:color w:val="auto"/>
          <w:sz w:val="24"/>
          <w:szCs w:val="24"/>
          <w:lang w:val="en-US" w:eastAsia="zh-CN"/>
        </w:rPr>
        <w:t>60-70</w:t>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bCs/>
          <w:color w:val="auto"/>
          <w:sz w:val="24"/>
          <w:szCs w:val="24"/>
        </w:rPr>
        <w:t>，操作时间14～20min。</w:t>
      </w:r>
      <w:r>
        <w:rPr>
          <w:rFonts w:hint="default" w:ascii="Times New Roman" w:hAnsi="Times New Roman" w:eastAsia="宋体" w:cs="Times New Roman"/>
          <w:bCs/>
          <w:color w:val="auto"/>
          <w:sz w:val="24"/>
          <w:szCs w:val="24"/>
          <w:lang w:eastAsia="zh-CN"/>
        </w:rPr>
        <w:t>电解</w:t>
      </w:r>
      <w:r>
        <w:rPr>
          <w:rFonts w:hint="default" w:ascii="Times New Roman" w:hAnsi="Times New Roman" w:eastAsia="宋体" w:cs="Times New Roman"/>
          <w:bCs/>
          <w:color w:val="auto"/>
          <w:sz w:val="24"/>
          <w:szCs w:val="24"/>
        </w:rPr>
        <w:t>除油主要是借助</w:t>
      </w:r>
      <w:r>
        <w:rPr>
          <w:rFonts w:hint="default" w:ascii="Times New Roman" w:hAnsi="Times New Roman" w:eastAsia="宋体" w:cs="Times New Roman"/>
          <w:bCs/>
          <w:color w:val="auto"/>
          <w:sz w:val="24"/>
          <w:szCs w:val="24"/>
          <w:lang w:eastAsia="zh-CN"/>
        </w:rPr>
        <w:t>电极表面上大量气体的析出，对油膜产生强大的冲击和乳化作用。</w:t>
      </w:r>
      <w:r>
        <w:rPr>
          <w:rFonts w:hint="default" w:ascii="Times New Roman" w:hAnsi="Times New Roman" w:eastAsia="宋体" w:cs="Times New Roman"/>
          <w:bCs/>
          <w:color w:val="auto"/>
          <w:sz w:val="24"/>
          <w:szCs w:val="24"/>
        </w:rPr>
        <w:t>经除油处理后的</w:t>
      </w:r>
      <w:r>
        <w:rPr>
          <w:rFonts w:hint="default" w:ascii="Times New Roman" w:hAnsi="Times New Roman" w:eastAsia="宋体" w:cs="Times New Roman"/>
          <w:bCs/>
          <w:color w:val="auto"/>
          <w:sz w:val="24"/>
          <w:szCs w:val="24"/>
          <w:lang w:eastAsia="zh-CN"/>
        </w:rPr>
        <w:t>镀</w:t>
      </w:r>
      <w:r>
        <w:rPr>
          <w:rFonts w:hint="default" w:ascii="Times New Roman" w:hAnsi="Times New Roman" w:eastAsia="宋体" w:cs="Times New Roman"/>
          <w:bCs/>
          <w:color w:val="auto"/>
          <w:sz w:val="24"/>
          <w:szCs w:val="24"/>
        </w:rPr>
        <w:t>件</w:t>
      </w:r>
      <w:r>
        <w:rPr>
          <w:rFonts w:hint="default" w:ascii="Times New Roman" w:hAnsi="Times New Roman" w:eastAsia="宋体" w:cs="Times New Roman"/>
          <w:bCs/>
          <w:color w:val="auto"/>
          <w:sz w:val="24"/>
          <w:szCs w:val="24"/>
          <w:lang w:eastAsia="zh-CN"/>
        </w:rPr>
        <w:t>进入水洗槽经过两次喷淋清洗</w:t>
      </w:r>
      <w:r>
        <w:rPr>
          <w:rFonts w:hint="default" w:ascii="Times New Roman" w:hAnsi="Times New Roman" w:eastAsia="宋体" w:cs="Times New Roman"/>
          <w:bCs/>
          <w:color w:val="auto"/>
          <w:sz w:val="24"/>
          <w:szCs w:val="24"/>
        </w:rPr>
        <w:t>，去除金属零件表面残留碱液和清洗剂后送入</w:t>
      </w:r>
      <w:r>
        <w:rPr>
          <w:rFonts w:hint="default" w:ascii="Times New Roman" w:hAnsi="Times New Roman" w:eastAsia="宋体" w:cs="Times New Roman"/>
          <w:bCs/>
          <w:color w:val="auto"/>
          <w:sz w:val="24"/>
          <w:szCs w:val="24"/>
          <w:lang w:eastAsia="zh-CN"/>
        </w:rPr>
        <w:t>活化</w:t>
      </w:r>
      <w:r>
        <w:rPr>
          <w:rFonts w:hint="default" w:ascii="Times New Roman" w:hAnsi="Times New Roman" w:eastAsia="宋体" w:cs="Times New Roman"/>
          <w:bCs/>
          <w:color w:val="auto"/>
          <w:sz w:val="24"/>
          <w:szCs w:val="24"/>
        </w:rPr>
        <w:t>工序，碱洗槽中的</w:t>
      </w:r>
      <w:r>
        <w:rPr>
          <w:rFonts w:hint="default" w:ascii="Times New Roman" w:hAnsi="Times New Roman" w:eastAsia="宋体" w:cs="Times New Roman"/>
          <w:bCs/>
          <w:color w:val="auto"/>
          <w:sz w:val="24"/>
          <w:szCs w:val="24"/>
          <w:lang w:eastAsia="zh-CN"/>
        </w:rPr>
        <w:t>槽液根据损耗定期补加</w:t>
      </w:r>
      <w:r>
        <w:rPr>
          <w:rFonts w:hint="default" w:ascii="Times New Roman" w:hAnsi="Times New Roman" w:eastAsia="宋体" w:cs="Times New Roman"/>
          <w:bCs/>
          <w:color w:val="auto"/>
          <w:sz w:val="24"/>
          <w:szCs w:val="24"/>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该工序污染源主要为化学碱洗槽产生的碱性</w:t>
      </w:r>
      <w:r>
        <w:rPr>
          <w:rFonts w:hint="default" w:ascii="Times New Roman" w:hAnsi="Times New Roman" w:eastAsia="宋体" w:cs="Times New Roman"/>
          <w:bCs/>
          <w:color w:val="auto"/>
          <w:sz w:val="24"/>
          <w:szCs w:val="24"/>
          <w:lang w:eastAsia="zh-CN"/>
        </w:rPr>
        <w:t>含油</w:t>
      </w:r>
      <w:r>
        <w:rPr>
          <w:rFonts w:hint="default" w:ascii="Times New Roman" w:hAnsi="Times New Roman" w:eastAsia="宋体" w:cs="Times New Roman"/>
          <w:bCs/>
          <w:color w:val="auto"/>
          <w:sz w:val="24"/>
          <w:szCs w:val="24"/>
        </w:rPr>
        <w:t>废水(W</w:t>
      </w:r>
      <w:r>
        <w:rPr>
          <w:rFonts w:hint="default" w:ascii="Times New Roman" w:hAnsi="Times New Roman" w:eastAsia="宋体" w:cs="Times New Roman"/>
          <w:bCs/>
          <w:color w:val="auto"/>
          <w:sz w:val="24"/>
          <w:szCs w:val="24"/>
          <w:vertAlign w:val="subscript"/>
          <w:lang w:val="en-US" w:eastAsia="zh-CN"/>
        </w:rPr>
        <w:t>1</w:t>
      </w:r>
      <w:r>
        <w:rPr>
          <w:rFonts w:hint="default" w:ascii="Times New Roman" w:hAnsi="Times New Roman" w:eastAsia="宋体" w:cs="Times New Roman"/>
          <w:bCs/>
          <w:color w:val="auto"/>
          <w:sz w:val="24"/>
          <w:szCs w:val="24"/>
        </w:rPr>
        <w:t>)。碱性</w:t>
      </w:r>
      <w:r>
        <w:rPr>
          <w:rFonts w:hint="default" w:ascii="Times New Roman" w:hAnsi="Times New Roman" w:eastAsia="宋体" w:cs="Times New Roman"/>
          <w:bCs/>
          <w:color w:val="auto"/>
          <w:sz w:val="24"/>
          <w:szCs w:val="24"/>
          <w:lang w:eastAsia="zh-CN"/>
        </w:rPr>
        <w:t>含油</w:t>
      </w:r>
      <w:r>
        <w:rPr>
          <w:rFonts w:hint="default" w:ascii="Times New Roman" w:hAnsi="Times New Roman" w:eastAsia="宋体" w:cs="Times New Roman"/>
          <w:bCs/>
          <w:color w:val="auto"/>
          <w:sz w:val="24"/>
          <w:szCs w:val="24"/>
        </w:rPr>
        <w:t>废水送综合污水处理站处理。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）活化</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在进行电镀处理前要进行活化处理，活化又称“弱侵蚀”，指在弱侵蚀溶液中短时间侵蚀，通过轻微的腐蚀作用使零件表面活化，露出金属的结晶组织，以保证镀层与基体结合强度高。工程采用30%稀硫酸作为活化剂。活化处理后送入水洗槽经两次喷淋清洗掉表面酸液。</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4"/>
          <w:szCs w:val="24"/>
          <w:lang w:val="en-US" w:eastAsia="zh-CN"/>
        </w:rPr>
        <w:t>活化过程主要化学反应过程如下：</w:t>
      </w:r>
    </w:p>
    <w:p>
      <w:pPr>
        <w:pageBreakBefore w:val="0"/>
        <w:kinsoku/>
        <w:wordWrap/>
        <w:overflowPunct/>
        <w:topLinePunct w:val="0"/>
        <w:bidi w:val="0"/>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position w:val="-6"/>
          <w:sz w:val="24"/>
          <w:szCs w:val="24"/>
          <w:lang w:val="en-US" w:eastAsia="zh-CN"/>
        </w:rPr>
        <w:object>
          <v:shape id="_x0000_i1039" o:spt="75" type="#_x0000_t75" style="height:13.95pt;width:149pt;" o:ole="t" filled="f" o:preferrelative="t" stroked="f" coordsize="21600,21600">
            <v:path/>
            <v:fill on="f" focussize="0,0"/>
            <v:stroke on="f"/>
            <v:imagedata r:id="rId24" o:title=""/>
            <o:lock v:ext="edit" aspectratio="t"/>
            <w10:wrap type="none"/>
            <w10:anchorlock/>
          </v:shape>
          <o:OLEObject Type="Embed" ProgID="Equation.KSEE3" ShapeID="_x0000_i1039" DrawAspect="Content" ObjectID="_1468075725" r:id="rId23">
            <o:LockedField>false</o:LockedField>
          </o:OLEObject>
        </w:objec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position w:val="-10"/>
          <w:lang w:val="en-US" w:eastAsia="zh-CN"/>
        </w:rPr>
        <w:object>
          <v:shape id="_x0000_i1040" o:spt="75" type="#_x0000_t75" style="height:16pt;width:183pt;" o:ole="t" filled="f" o:preferrelative="t" stroked="f" coordsize="21600,21600">
            <v:path/>
            <v:fill on="f" focussize="0,0"/>
            <v:stroke on="f"/>
            <v:imagedata r:id="rId26" o:title=""/>
            <o:lock v:ext="edit" aspectratio="t"/>
            <w10:wrap type="none"/>
            <w10:anchorlock/>
          </v:shape>
          <o:OLEObject Type="Embed" ProgID="Equation.KSEE3" ShapeID="_x0000_i1040" DrawAspect="Content" ObjectID="_1468075726" r:id="rId25">
            <o:LockedField>false</o:LockedField>
          </o:OLEObject>
        </w:objec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position w:val="-10"/>
          <w:lang w:val="en-US" w:eastAsia="zh-CN"/>
        </w:rPr>
        <w:object>
          <v:shape id="_x0000_i1041" o:spt="75" type="#_x0000_t75" style="height:16pt;width:227pt;" o:ole="t" filled="f" o:preferrelative="t" stroked="f" coordsize="21600,21600">
            <v:path/>
            <v:fill on="f" focussize="0,0"/>
            <v:stroke on="f"/>
            <v:imagedata r:id="rId28" o:title=""/>
            <o:lock v:ext="edit" aspectratio="t"/>
            <w10:wrap type="none"/>
            <w10:anchorlock/>
          </v:shape>
          <o:OLEObject Type="Embed" ProgID="Equation.KSEE3" ShapeID="_x0000_i1041" DrawAspect="Content" ObjectID="_1468075727" r:id="rId27">
            <o:LockedField>false</o:LockedField>
          </o:OLEObject>
        </w:object>
      </w:r>
    </w:p>
    <w:p>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该工序污染源主要为酸洗及活化</w:t>
      </w:r>
      <w:r>
        <w:rPr>
          <w:rFonts w:hint="default" w:ascii="Times New Roman" w:hAnsi="Times New Roman" w:eastAsia="宋体" w:cs="Times New Roman"/>
          <w:bCs/>
          <w:color w:val="auto"/>
          <w:sz w:val="24"/>
          <w:szCs w:val="24"/>
        </w:rPr>
        <w:t>过程产生的酸雾(G</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)和漂洗产生的酸性废水(W</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)及酸洗槽定期排放废酸(S</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)。工程采取在酸洗槽上部加装侧吸罩，将酸雾收集后送洗涤塔净化的净化措施；酸性废水送综合污水处理站处理，废酸送有资质的危废处置单位处理。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镀</w:t>
      </w:r>
      <w:r>
        <w:rPr>
          <w:rFonts w:hint="default" w:ascii="Times New Roman" w:hAnsi="Times New Roman" w:eastAsia="宋体" w:cs="Times New Roman"/>
          <w:bCs/>
          <w:color w:val="auto"/>
          <w:sz w:val="24"/>
          <w:szCs w:val="24"/>
          <w:lang w:eastAsia="zh-CN"/>
        </w:rPr>
        <w:t>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经过活化的零件进入电镀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工序。电镀液由</w:t>
      </w:r>
      <w:r>
        <w:rPr>
          <w:rFonts w:hint="default" w:ascii="Times New Roman" w:hAnsi="Times New Roman" w:eastAsia="宋体" w:cs="Times New Roman"/>
          <w:bCs/>
          <w:color w:val="auto"/>
          <w:sz w:val="24"/>
          <w:szCs w:val="24"/>
          <w:lang w:eastAsia="zh-CN"/>
        </w:rPr>
        <w:t>氯化亚铁</w:t>
      </w:r>
      <w:r>
        <w:rPr>
          <w:rFonts w:hint="default" w:ascii="Times New Roman" w:hAnsi="Times New Roman" w:eastAsia="宋体" w:cs="Times New Roman"/>
          <w:bCs/>
          <w:color w:val="auto"/>
          <w:sz w:val="24"/>
          <w:szCs w:val="24"/>
        </w:rPr>
        <w:t>、氯化</w:t>
      </w:r>
      <w:r>
        <w:rPr>
          <w:rFonts w:hint="default" w:ascii="Times New Roman" w:hAnsi="Times New Roman" w:eastAsia="宋体" w:cs="Times New Roman"/>
          <w:bCs/>
          <w:color w:val="auto"/>
          <w:sz w:val="24"/>
          <w:szCs w:val="24"/>
          <w:lang w:eastAsia="zh-CN"/>
        </w:rPr>
        <w:t>钠</w:t>
      </w:r>
      <w:r>
        <w:rPr>
          <w:rFonts w:hint="default" w:ascii="Times New Roman" w:hAnsi="Times New Roman" w:eastAsia="宋体" w:cs="Times New Roman"/>
          <w:bCs/>
          <w:color w:val="auto"/>
          <w:sz w:val="24"/>
          <w:szCs w:val="24"/>
        </w:rPr>
        <w:t>和</w:t>
      </w:r>
      <w:r>
        <w:rPr>
          <w:rFonts w:hint="default" w:ascii="Times New Roman" w:hAnsi="Times New Roman" w:eastAsia="宋体" w:cs="Times New Roman"/>
          <w:bCs/>
          <w:color w:val="auto"/>
          <w:sz w:val="24"/>
          <w:szCs w:val="24"/>
          <w:lang w:eastAsia="zh-CN"/>
        </w:rPr>
        <w:t>盐</w:t>
      </w:r>
      <w:r>
        <w:rPr>
          <w:rFonts w:hint="default" w:ascii="Times New Roman" w:hAnsi="Times New Roman" w:eastAsia="宋体" w:cs="Times New Roman"/>
          <w:bCs/>
          <w:color w:val="auto"/>
          <w:sz w:val="24"/>
          <w:szCs w:val="24"/>
        </w:rPr>
        <w:t>酸配制而成，其浓度分别为80</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g/L、200</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g/L和40</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g/L。将镀件</w:t>
      </w:r>
      <w:r>
        <w:rPr>
          <w:rFonts w:hint="default" w:ascii="Times New Roman" w:hAnsi="Times New Roman" w:eastAsia="宋体" w:cs="Times New Roman"/>
          <w:bCs/>
          <w:color w:val="auto"/>
          <w:sz w:val="24"/>
          <w:szCs w:val="24"/>
          <w:lang w:eastAsia="zh-CN"/>
        </w:rPr>
        <w:t>挂入槽中</w:t>
      </w:r>
      <w:r>
        <w:rPr>
          <w:rFonts w:hint="default" w:ascii="Times New Roman" w:hAnsi="Times New Roman" w:eastAsia="宋体" w:cs="Times New Roman"/>
          <w:bCs/>
          <w:color w:val="auto"/>
          <w:sz w:val="24"/>
          <w:szCs w:val="24"/>
        </w:rPr>
        <w:t>并置于电镀液中，</w:t>
      </w:r>
      <w:r>
        <w:rPr>
          <w:rFonts w:hint="default" w:ascii="Times New Roman" w:hAnsi="Times New Roman" w:eastAsia="宋体" w:cs="Times New Roman"/>
          <w:bCs/>
          <w:color w:val="auto"/>
          <w:sz w:val="24"/>
          <w:szCs w:val="24"/>
          <w:lang w:eastAsia="zh-CN"/>
        </w:rPr>
        <w:t>电镀液温度为</w:t>
      </w:r>
      <w:r>
        <w:rPr>
          <w:rFonts w:hint="default" w:ascii="Times New Roman" w:hAnsi="Times New Roman" w:eastAsia="宋体" w:cs="Times New Roman"/>
          <w:bCs/>
          <w:color w:val="auto"/>
          <w:sz w:val="24"/>
          <w:szCs w:val="24"/>
          <w:lang w:val="en-US" w:eastAsia="zh-CN"/>
        </w:rPr>
        <w:t>60-90度</w:t>
      </w:r>
      <w:r>
        <w:rPr>
          <w:rFonts w:hint="default" w:ascii="Times New Roman" w:hAnsi="Times New Roman" w:eastAsia="宋体" w:cs="Times New Roman"/>
          <w:bCs/>
          <w:color w:val="auto"/>
          <w:sz w:val="24"/>
          <w:szCs w:val="24"/>
        </w:rPr>
        <w:t>，通入直流电进行镀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电镀时间</w:t>
      </w:r>
      <w:r>
        <w:rPr>
          <w:rFonts w:hint="default" w:ascii="Times New Roman" w:hAnsi="Times New Roman" w:eastAsia="宋体" w:cs="Times New Roman"/>
          <w:bCs/>
          <w:color w:val="auto"/>
          <w:sz w:val="24"/>
          <w:szCs w:val="24"/>
          <w:lang w:val="en-US" w:eastAsia="zh-CN"/>
        </w:rPr>
        <w:t>3-6小时。</w:t>
      </w:r>
      <w:r>
        <w:rPr>
          <w:rFonts w:hint="default" w:ascii="Times New Roman" w:hAnsi="Times New Roman" w:eastAsia="宋体" w:cs="Times New Roman"/>
          <w:bCs/>
          <w:color w:val="auto"/>
          <w:sz w:val="24"/>
          <w:szCs w:val="24"/>
        </w:rPr>
        <w:t>电镀液在使用一段时间后会形成沉积物，为保证镀液质量，需经过滤处理，经过滤后电镀液返回镀槽循环使用，电镀液</w:t>
      </w:r>
      <w:r>
        <w:rPr>
          <w:rFonts w:hint="default" w:ascii="Times New Roman" w:hAnsi="Times New Roman" w:eastAsia="宋体" w:cs="Times New Roman"/>
          <w:bCs/>
          <w:color w:val="auto"/>
          <w:sz w:val="24"/>
          <w:szCs w:val="24"/>
          <w:lang w:eastAsia="zh-CN"/>
        </w:rPr>
        <w:t>根据消耗补加原料</w:t>
      </w:r>
      <w:r>
        <w:rPr>
          <w:rFonts w:hint="default" w:ascii="Times New Roman" w:hAnsi="Times New Roman" w:eastAsia="宋体" w:cs="Times New Roman"/>
          <w:bCs/>
          <w:color w:val="auto"/>
          <w:sz w:val="24"/>
          <w:szCs w:val="24"/>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电镀结束后采用天车吊起</w:t>
      </w:r>
      <w:r>
        <w:rPr>
          <w:rFonts w:hint="default" w:ascii="Times New Roman" w:hAnsi="Times New Roman" w:eastAsia="宋体" w:cs="Times New Roman"/>
          <w:bCs/>
          <w:color w:val="auto"/>
          <w:sz w:val="24"/>
          <w:szCs w:val="24"/>
          <w:lang w:eastAsia="zh-CN"/>
        </w:rPr>
        <w:t>挂架</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电镀后的镀件放入回收槽，回收镀液后由水洗槽经两次逆流漂洗清洗掉表面酸液。经过回收后的电镀液铁的利用率在</w:t>
      </w:r>
      <w:r>
        <w:rPr>
          <w:rFonts w:hint="default" w:ascii="Times New Roman" w:hAnsi="Times New Roman" w:eastAsia="宋体" w:cs="Times New Roman"/>
          <w:bCs/>
          <w:color w:val="auto"/>
          <w:sz w:val="24"/>
          <w:szCs w:val="24"/>
          <w:lang w:val="en-US" w:eastAsia="zh-CN"/>
        </w:rPr>
        <w:t>82%以上。</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过程反应原理为：</w:t>
      </w:r>
    </w:p>
    <w:p>
      <w:pPr>
        <w:pageBreakBefore w:val="0"/>
        <w:numPr>
          <w:ilvl w:val="0"/>
          <w:numId w:val="1"/>
        </w:numPr>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阴极过程：氯化</w:t>
      </w:r>
      <w:r>
        <w:rPr>
          <w:rFonts w:hint="default" w:ascii="Times New Roman" w:hAnsi="Times New Roman" w:eastAsia="宋体" w:cs="Times New Roman"/>
          <w:bCs/>
          <w:color w:val="auto"/>
          <w:sz w:val="24"/>
          <w:szCs w:val="24"/>
          <w:lang w:eastAsia="zh-CN"/>
        </w:rPr>
        <w:t>亚铁</w:t>
      </w:r>
      <w:r>
        <w:rPr>
          <w:rFonts w:hint="default" w:ascii="Times New Roman" w:hAnsi="Times New Roman" w:eastAsia="宋体" w:cs="Times New Roman"/>
          <w:bCs/>
          <w:color w:val="auto"/>
          <w:sz w:val="24"/>
          <w:szCs w:val="24"/>
        </w:rPr>
        <w:t>水溶液在电解时，</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在阴极上得到电子，沉积出</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，同时，部分氢离子被还原放出氢气：</w:t>
      </w:r>
    </w:p>
    <w:p>
      <w:pPr>
        <w:pStyle w:val="2"/>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6"/>
          <w:lang w:eastAsia="zh-CN"/>
        </w:rPr>
        <w:object>
          <v:shape id="_x0000_i1042" o:spt="75" type="#_x0000_t75" style="height:20pt;width:108pt;" o:ole="t" filled="f" o:preferrelative="t" stroked="f" coordsize="21600,21600">
            <v:path/>
            <v:fill on="f" focussize="0,0"/>
            <v:stroke on="f"/>
            <v:imagedata r:id="rId30" o:title=""/>
            <o:lock v:ext="edit" aspectratio="t"/>
            <w10:wrap type="none"/>
            <w10:anchorlock/>
          </v:shape>
          <o:OLEObject Type="Embed" ProgID="Equation.KSEE3" ShapeID="_x0000_i1042" DrawAspect="Content" ObjectID="_1468075728" r:id="rId29">
            <o:LockedField>false</o:LockedField>
          </o:OLEObject>
        </w:objec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kern w:val="0"/>
          <w:lang w:val="zh-CN"/>
        </w:rPr>
      </w:pPr>
      <w:r>
        <w:rPr>
          <w:rFonts w:hint="default" w:ascii="Times New Roman" w:hAnsi="Times New Roman" w:eastAsia="宋体" w:cs="Times New Roman"/>
          <w:bCs/>
          <w:color w:val="auto"/>
          <w:position w:val="-6"/>
          <w:sz w:val="24"/>
          <w:szCs w:val="24"/>
          <w:lang w:eastAsia="zh-CN"/>
        </w:rPr>
        <w:object>
          <v:shape id="_x0000_i1043" o:spt="75" type="#_x0000_t75" style="height:16pt;width:78.95pt;" o:ole="t" filled="f" o:preferrelative="t" stroked="f" coordsize="21600,21600">
            <v:path/>
            <v:fill on="f" focussize="0,0"/>
            <v:stroke on="f"/>
            <v:imagedata r:id="rId32" o:title=""/>
            <o:lock v:ext="edit" aspectratio="t"/>
            <w10:wrap type="none"/>
            <w10:anchorlock/>
          </v:shape>
          <o:OLEObject Type="Embed" ProgID="Equation.KSEE3" ShapeID="_x0000_i1043" DrawAspect="Content" ObjectID="_1468075729" r:id="rId31">
            <o:LockedField>false</o:LockedField>
          </o:OLEObject>
        </w:objec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position w:val="-6"/>
          <w:sz w:val="24"/>
          <w:szCs w:val="24"/>
          <w:lang w:eastAsia="zh-CN"/>
        </w:rPr>
        <w:object>
          <v:shape id="_x0000_i1044" o:spt="75" type="#_x0000_t75" style="height:16pt;width:90pt;" o:ole="t" filled="f" o:preferrelative="t" stroked="f" coordsize="21600,21600">
            <v:path/>
            <v:fill on="f" focussize="0,0"/>
            <v:stroke on="f"/>
            <v:imagedata r:id="rId34" o:title=""/>
            <o:lock v:ext="edit" aspectratio="t"/>
            <w10:wrap type="none"/>
            <w10:anchorlock/>
          </v:shape>
          <o:OLEObject Type="Embed" ProgID="Equation.KSEE3" ShapeID="_x0000_i1044" DrawAspect="Content" ObjectID="_1468075730" r:id="rId33">
            <o:LockedField>false</o:LockedField>
          </o:OLEObject>
        </w:object>
      </w:r>
    </w:p>
    <w:p>
      <w:pPr>
        <w:pageBreakBefore w:val="0"/>
        <w:numPr>
          <w:ilvl w:val="0"/>
          <w:numId w:val="1"/>
        </w:numPr>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阳极过程：</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阳极在大量氯离子存在时很容易溶解，进入电解液中，最终在阴极析出。阳极电流效率尽管很高，但在电解时仍有少量氢氧根失去电子放出氧。</w:t>
      </w:r>
    </w:p>
    <w:p>
      <w:pPr>
        <w:pStyle w:val="2"/>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6"/>
          <w:lang w:eastAsia="zh-CN"/>
        </w:rPr>
        <w:object>
          <v:shape id="_x0000_i1045" o:spt="75" type="#_x0000_t75" style="height:16pt;width:78.95pt;" o:ole="t" filled="f" o:preferrelative="t" stroked="f" coordsize="21600,21600">
            <v:path/>
            <v:fill on="f" focussize="0,0"/>
            <v:stroke on="f"/>
            <v:imagedata r:id="rId36" o:title=""/>
            <o:lock v:ext="edit" aspectratio="t"/>
            <w10:wrap type="none"/>
            <w10:anchorlock/>
          </v:shape>
          <o:OLEObject Type="Embed" ProgID="Equation.KSEE3" ShapeID="_x0000_i1045" DrawAspect="Content" ObjectID="_1468075731" r:id="rId35">
            <o:LockedField>false</o:LockedField>
          </o:OLEObject>
        </w:object>
      </w:r>
    </w:p>
    <w:p>
      <w:pPr>
        <w:pStyle w:val="2"/>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position w:val="-12"/>
          <w:lang w:val="zh-CN"/>
        </w:rPr>
        <w:object>
          <v:shape id="_x0000_i1046" o:spt="75" type="#_x0000_t75" style="height:19pt;width:135pt;" o:ole="t" filled="f" o:preferrelative="t" stroked="f" coordsize="21600,21600">
            <v:path/>
            <v:fill on="f" alignshape="1" focussize="0,0"/>
            <v:stroke on="f"/>
            <v:imagedata r:id="rId38" o:title=""/>
            <o:lock v:ext="edit" aspectratio="t"/>
            <w10:wrap type="none"/>
            <w10:anchorlock/>
          </v:shape>
          <o:OLEObject Type="Embed" ProgID="Equation.DSMT4" ShapeID="_x0000_i1046" DrawAspect="Content" ObjectID="_1468075732" r:id="rId37">
            <o:LockedField>false</o:LockedField>
          </o:OLEObject>
        </w:objec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镀铁完成经回收镀液后进入水洗槽经两次逆流漂洗清洗镀件表面残留镀液，清洗完成晾干后即可进入精加工工序。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该工序污染源主要为</w:t>
      </w:r>
      <w:r>
        <w:rPr>
          <w:rFonts w:hint="default" w:ascii="Times New Roman" w:hAnsi="Times New Roman" w:eastAsia="宋体" w:cs="Times New Roman"/>
          <w:bCs/>
          <w:color w:val="auto"/>
          <w:sz w:val="24"/>
          <w:szCs w:val="24"/>
          <w:lang w:eastAsia="zh-CN"/>
        </w:rPr>
        <w:t>镀铁槽少量的盐酸雾、电镀件漂洗含铁离子废水、过滤产生的废镀液。水洗含铁离子废水送含铁废水处理站处理。费电镀液和过滤产生的电镀沉渣送有资质的危废处置单位处理。</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3.2.2.3 精加工</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镀铁完成后的工作直径、厚度等参数较镀前有所增加，需要采用各类精加工机床进行加工处理，使得工件的尺寸恢复为原来的设计尺寸。</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工序污染源主要为各类机床噪声、机加工下脚料、废润滑油及废乳化液。其中各种加工机床采用基础减震和厂房隔声的降噪措施，下脚料外售钢厂做烧结原料，废润滑油及废乳化液送有资质的危废处置单位处理。</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3.2.2.4 镀铬</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镀铬生产线前处理工艺过程包括电解除油、水洗、镀铬、水洗。与电镀铁生产线基本一致。镀铬工序的电镀液由铬酐、硫酸和光亮剂等配置而成。将镀件放在挂具上，安装好不溶性阳极板，放入电镀液中，通过直流电，即开始进行镀铬，电镀槽温度为55-65度。根据镀件品种要求，控制电镀时间。电镀液在使用一段时间后回形成沉积物，需经过滤处理，经过滤后电镀液返回电镀槽循环使用。</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同时在电镀生产线槽间加斜向挡液板，使镀件带出的镀液流回镀槽。在镀槽后设置两级静止水浸洗回收槽，来进一步回收镀液和降低漂洗废水中污染物的浓度。当浸洗回收槽回收液达到一定浓度后，作为镀槽的补充液利用。</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电镀后的镀件放入水洗槽经两次逆流漂洗清洗掉表面酸液，镀铬过程完成，抛光整理入库。镀铬过程反应原理为：</w:t>
      </w:r>
    </w:p>
    <w:p>
      <w:pPr>
        <w:pStyle w:val="13"/>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阴极过程：镀铬液中，铬酸一般以重铬酸形式存在，在阴极上依次发生下列反应。</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6"/>
          <w:sz w:val="24"/>
          <w:szCs w:val="24"/>
          <w:lang w:val="en-US" w:eastAsia="zh-CN"/>
        </w:rPr>
        <w:object>
          <v:shape id="_x0000_i1047" o:spt="75" type="#_x0000_t75" style="height:16pt;width:182pt;" o:ole="t" filled="f" o:preferrelative="t" stroked="f" coordsize="21600,21600">
            <v:path/>
            <v:fill on="f" focussize="0,0"/>
            <v:stroke on="f"/>
            <v:imagedata r:id="rId40" o:title=""/>
            <o:lock v:ext="edit" aspectratio="t"/>
            <w10:wrap type="none"/>
            <w10:anchorlock/>
          </v:shape>
          <o:OLEObject Type="Embed" ProgID="Equation.KSEE3" ShapeID="_x0000_i1047" DrawAspect="Content" ObjectID="_1468075733" r:id="rId39">
            <o:LockedField>false</o:LockedField>
          </o:OLEObject>
        </w:objec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position w:val="-6"/>
          <w:sz w:val="24"/>
          <w:szCs w:val="24"/>
          <w:lang w:eastAsia="zh-CN"/>
        </w:rPr>
        <w:object>
          <v:shape id="_x0000_i1048" o:spt="75" type="#_x0000_t75" style="height:16pt;width:90pt;" o:ole="t" filled="f" o:preferrelative="t" stroked="f" coordsize="21600,21600">
            <v:path/>
            <v:fill on="f" focussize="0,0"/>
            <v:stroke on="f"/>
            <v:imagedata r:id="rId34" o:title=""/>
            <o:lock v:ext="edit" aspectratio="t"/>
            <w10:wrap type="none"/>
            <w10:anchorlock/>
          </v:shape>
          <o:OLEObject Type="Embed" ProgID="Equation.KSEE3" ShapeID="_x0000_i1048" DrawAspect="Content" ObjectID="_1468075734" r:id="rId41">
            <o:LockedField>false</o:LockedField>
          </o:OLEObject>
        </w:objec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position w:val="-6"/>
          <w:sz w:val="24"/>
          <w:szCs w:val="24"/>
          <w:lang w:val="en-US" w:eastAsia="zh-CN"/>
        </w:rPr>
        <w:object>
          <v:shape id="_x0000_i1049" o:spt="75" type="#_x0000_t75" style="height:16pt;width:164pt;" o:ole="t" filled="f" o:preferrelative="t" stroked="f" coordsize="21600,21600">
            <v:path/>
            <v:fill on="f" focussize="0,0"/>
            <v:stroke on="f"/>
            <v:imagedata r:id="rId43" o:title=""/>
            <o:lock v:ext="edit" aspectratio="t"/>
            <w10:wrap type="none"/>
            <w10:anchorlock/>
          </v:shape>
          <o:OLEObject Type="Embed" ProgID="Equation.KSEE3" ShapeID="_x0000_i1049" DrawAspect="Content" ObjectID="_1468075735" r:id="rId42">
            <o:LockedField>false</o:LockedField>
          </o:OLEObject>
        </w:objec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position w:val="-6"/>
          <w:sz w:val="24"/>
          <w:szCs w:val="24"/>
          <w:lang w:val="en-US" w:eastAsia="zh-CN"/>
        </w:rPr>
        <w:object>
          <v:shape id="_x0000_i1050" o:spt="75" type="#_x0000_t75" style="height:16pt;width:168.95pt;" o:ole="t" filled="f" o:preferrelative="t" stroked="f" coordsize="21600,21600">
            <v:path/>
            <v:fill on="f" focussize="0,0"/>
            <v:stroke on="f"/>
            <v:imagedata r:id="rId45" o:title=""/>
            <o:lock v:ext="edit" aspectratio="t"/>
            <w10:wrap type="none"/>
            <w10:anchorlock/>
          </v:shape>
          <o:OLEObject Type="Embed" ProgID="Equation.KSEE3" ShapeID="_x0000_i1050" DrawAspect="Content" ObjectID="_1468075736" r:id="rId44">
            <o:LockedField>false</o:LockedField>
          </o:OLEObject>
        </w:object>
      </w:r>
    </w:p>
    <w:p>
      <w:pPr>
        <w:pStyle w:val="13"/>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阳极过程:阳极在电解时仍有少量氢氧根失去电子放出氧。</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position w:val="-12"/>
          <w:lang w:val="zh-CN"/>
        </w:rPr>
        <w:object>
          <v:shape id="_x0000_i1051" o:spt="75" type="#_x0000_t75" style="height:19pt;width:135pt;" o:ole="t" filled="f" o:preferrelative="t" stroked="f" coordsize="21600,21600">
            <v:path/>
            <v:fill on="f" alignshape="1" focussize="0,0"/>
            <v:stroke on="f"/>
            <v:imagedata r:id="rId38" o:title=""/>
            <o:lock v:ext="edit" aspectratio="t"/>
            <w10:wrap type="none"/>
            <w10:anchorlock/>
          </v:shape>
          <o:OLEObject Type="Embed" ProgID="Equation.DSMT4" ShapeID="_x0000_i1051" DrawAspect="Content" ObjectID="_1468075737" r:id="rId46">
            <o:LockedField>false</o:LockedField>
          </o:OLEObject>
        </w:object>
      </w:r>
    </w:p>
    <w:p>
      <w:pPr>
        <w:pStyle w:val="6"/>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lang w:val="en-US" w:eastAsia="zh-CN"/>
        </w:rPr>
      </w:pPr>
      <w:bookmarkStart w:id="67" w:name="_Toc8126"/>
      <w:bookmarkStart w:id="68" w:name="_Toc27356"/>
      <w:r>
        <w:rPr>
          <w:rFonts w:hint="default" w:ascii="Times New Roman" w:hAnsi="Times New Roman" w:eastAsia="宋体" w:cs="Times New Roman"/>
          <w:color w:val="auto"/>
          <w:lang w:val="en-US" w:eastAsia="zh-CN"/>
        </w:rPr>
        <w:t>3.2.3 排污节点</w:t>
      </w:r>
      <w:bookmarkEnd w:id="67"/>
      <w:bookmarkEnd w:id="68"/>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lang w:val="en-US" w:eastAsia="zh-CN"/>
        </w:rPr>
        <w:t>邢台兴安液压机械有限公司</w:t>
      </w:r>
      <w:r>
        <w:rPr>
          <w:rFonts w:hint="default" w:ascii="Times New Roman" w:hAnsi="Times New Roman" w:eastAsia="宋体" w:cs="Times New Roman"/>
          <w:bCs/>
          <w:color w:val="auto"/>
          <w:sz w:val="24"/>
          <w:szCs w:val="24"/>
        </w:rPr>
        <w:t>工艺流程及排污节</w:t>
      </w:r>
      <w:r>
        <w:rPr>
          <w:rFonts w:hint="default" w:ascii="Times New Roman" w:hAnsi="Times New Roman" w:eastAsia="宋体" w:cs="Times New Roman"/>
          <w:bCs/>
          <w:color w:val="auto"/>
          <w:sz w:val="24"/>
          <w:szCs w:val="24"/>
          <w:lang w:eastAsia="zh-CN"/>
        </w:rPr>
        <w:t>点见图</w:t>
      </w:r>
      <w:r>
        <w:rPr>
          <w:rFonts w:hint="default" w:ascii="Times New Roman" w:hAnsi="Times New Roman" w:eastAsia="宋体" w:cs="Times New Roman"/>
          <w:bCs/>
          <w:color w:val="auto"/>
          <w:sz w:val="24"/>
          <w:szCs w:val="24"/>
          <w:lang w:val="en-US" w:eastAsia="zh-CN"/>
        </w:rPr>
        <w:t>3.2-1。主要排污节点信息详见表3.2-2。</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166995" cy="332740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5166995" cy="33274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bCs w:val="0"/>
          <w:color w:val="auto"/>
          <w:sz w:val="24"/>
          <w:szCs w:val="24"/>
          <w:lang w:eastAsia="zh-CN"/>
        </w:rPr>
        <w:t>图</w:t>
      </w:r>
      <w:r>
        <w:rPr>
          <w:rFonts w:hint="default" w:ascii="Times New Roman" w:hAnsi="Times New Roman" w:eastAsia="宋体" w:cs="Times New Roman"/>
          <w:b/>
          <w:bCs w:val="0"/>
          <w:color w:val="auto"/>
          <w:sz w:val="24"/>
          <w:szCs w:val="24"/>
          <w:lang w:val="en-US" w:eastAsia="zh-CN"/>
        </w:rPr>
        <w:t xml:space="preserve">3.2-1  </w:t>
      </w:r>
      <w:r>
        <w:rPr>
          <w:rFonts w:hint="default" w:ascii="Times New Roman" w:hAnsi="Times New Roman" w:eastAsia="宋体" w:cs="Times New Roman"/>
          <w:b/>
          <w:bCs w:val="0"/>
          <w:color w:val="auto"/>
          <w:sz w:val="24"/>
          <w:szCs w:val="24"/>
        </w:rPr>
        <w:t>工艺流程及排污节</w:t>
      </w:r>
      <w:r>
        <w:rPr>
          <w:rFonts w:hint="default" w:ascii="Times New Roman" w:hAnsi="Times New Roman" w:eastAsia="宋体" w:cs="Times New Roman"/>
          <w:b/>
          <w:bCs w:val="0"/>
          <w:color w:val="auto"/>
          <w:sz w:val="24"/>
          <w:szCs w:val="24"/>
          <w:lang w:eastAsia="zh-CN"/>
        </w:rPr>
        <w:t>点图</w:t>
      </w: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表3.2-2  生产工艺污染源及其治理措施一览表</w:t>
      </w:r>
    </w:p>
    <w:tbl>
      <w:tblPr>
        <w:tblStyle w:val="16"/>
        <w:tblW w:w="81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66"/>
        <w:gridCol w:w="368"/>
        <w:gridCol w:w="1078"/>
        <w:gridCol w:w="760"/>
        <w:gridCol w:w="703"/>
        <w:gridCol w:w="787"/>
        <w:gridCol w:w="910"/>
        <w:gridCol w:w="684"/>
        <w:gridCol w:w="703"/>
        <w:gridCol w:w="684"/>
        <w:gridCol w:w="12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别</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号</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污染源</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名称</w:t>
            </w:r>
          </w:p>
        </w:tc>
        <w:tc>
          <w:tcPr>
            <w:tcW w:w="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/h)</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因子</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源强</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w:t>
            </w:r>
          </w:p>
        </w:tc>
        <w:tc>
          <w:tcPr>
            <w:tcW w:w="9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治理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措施</w:t>
            </w:r>
          </w:p>
        </w:tc>
        <w:tc>
          <w:tcPr>
            <w:tcW w:w="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排气筒</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高度(m)</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w:t>
            </w:r>
          </w:p>
        </w:tc>
        <w:tc>
          <w:tcPr>
            <w:tcW w:w="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速率</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(kg/h)</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年排放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气</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1</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含盐酸雾废气</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2400</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氯化氢</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183</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碱液洗涤塔</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15</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40</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0.0</w:t>
            </w:r>
            <w:r>
              <w:rPr>
                <w:rFonts w:hint="default" w:ascii="Times New Roman" w:hAnsi="Times New Roman" w:eastAsia="宋体" w:cs="Times New Roman"/>
                <w:b w:val="0"/>
                <w:bCs w:val="0"/>
                <w:color w:val="auto"/>
                <w:spacing w:val="-20"/>
                <w:kern w:val="2"/>
                <w:sz w:val="21"/>
                <w:szCs w:val="21"/>
                <w:lang w:val="en-US" w:eastAsia="zh-CN"/>
              </w:rPr>
              <w:t>96</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0.691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2</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w:t>
            </w:r>
            <w:r>
              <w:rPr>
                <w:rFonts w:hint="default" w:ascii="Times New Roman" w:hAnsi="Times New Roman" w:eastAsia="宋体" w:cs="Times New Roman"/>
                <w:b w:val="0"/>
                <w:bCs w:val="0"/>
                <w:color w:val="auto"/>
                <w:spacing w:val="-20"/>
                <w:kern w:val="2"/>
                <w:sz w:val="21"/>
                <w:szCs w:val="21"/>
                <w:lang w:eastAsia="zh-CN"/>
              </w:rPr>
              <w:t>铬</w:t>
            </w:r>
            <w:r>
              <w:rPr>
                <w:rFonts w:hint="default" w:ascii="Times New Roman" w:hAnsi="Times New Roman" w:eastAsia="宋体" w:cs="Times New Roman"/>
                <w:b w:val="0"/>
                <w:bCs w:val="0"/>
                <w:color w:val="auto"/>
                <w:spacing w:val="-20"/>
                <w:kern w:val="2"/>
                <w:sz w:val="21"/>
                <w:szCs w:val="21"/>
              </w:rPr>
              <w:t>酸雾废气</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3000</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lang w:eastAsia="zh-CN"/>
              </w:rPr>
              <w:t>铬</w:t>
            </w:r>
            <w:r>
              <w:rPr>
                <w:rFonts w:hint="default" w:ascii="Times New Roman" w:hAnsi="Times New Roman" w:eastAsia="宋体" w:cs="Times New Roman"/>
                <w:b w:val="0"/>
                <w:bCs w:val="0"/>
                <w:color w:val="auto"/>
                <w:spacing w:val="-20"/>
                <w:kern w:val="2"/>
                <w:sz w:val="21"/>
                <w:szCs w:val="21"/>
              </w:rPr>
              <w:t>酸雾</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0.432</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碱液洗涤塔</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15</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0.12</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 xml:space="preserve">0.36 </w:t>
            </w:r>
            <w:r>
              <w:rPr>
                <w:rFonts w:hint="default" w:ascii="Times New Roman" w:hAnsi="Times New Roman" w:eastAsia="宋体" w:cs="Times New Roman"/>
                <w:b w:val="0"/>
                <w:bCs w:val="0"/>
                <w:color w:val="auto"/>
                <w:spacing w:val="-20"/>
                <w:kern w:val="2"/>
                <w:sz w:val="21"/>
                <w:szCs w:val="21"/>
              </w:rPr>
              <w:t>g/h</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2.59kg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3</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车间无组织</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氯化氢</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eastAsia="zh-CN"/>
              </w:rPr>
              <w:t>铬</w:t>
            </w:r>
            <w:r>
              <w:rPr>
                <w:rFonts w:hint="default" w:ascii="Times New Roman" w:hAnsi="Times New Roman" w:eastAsia="宋体" w:cs="Times New Roman"/>
                <w:b w:val="0"/>
                <w:bCs w:val="0"/>
                <w:color w:val="auto"/>
                <w:spacing w:val="-20"/>
                <w:kern w:val="2"/>
                <w:sz w:val="21"/>
                <w:szCs w:val="21"/>
              </w:rPr>
              <w:t>酸雾</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0.045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0.288</w:t>
            </w:r>
            <w:r>
              <w:rPr>
                <w:rFonts w:hint="default" w:ascii="Times New Roman" w:hAnsi="Times New Roman" w:eastAsia="宋体" w:cs="Times New Roman"/>
                <w:b w:val="0"/>
                <w:bCs w:val="0"/>
                <w:color w:val="auto"/>
                <w:spacing w:val="-20"/>
                <w:kern w:val="2"/>
                <w:sz w:val="21"/>
                <w:szCs w:val="21"/>
              </w:rPr>
              <w:t>g/h</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0.324</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 xml:space="preserve">2.074 </w:t>
            </w: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lang w:val="en-US" w:eastAsia="zh-CN"/>
              </w:rPr>
              <w:t xml:space="preserve"> </w:t>
            </w:r>
            <w:r>
              <w:rPr>
                <w:rFonts w:hint="default" w:ascii="Times New Roman" w:hAnsi="Times New Roman" w:eastAsia="宋体" w:cs="Times New Roman"/>
                <w:b w:val="0"/>
                <w:bCs w:val="0"/>
                <w:color w:val="auto"/>
                <w:spacing w:val="-20"/>
                <w:kern w:val="2"/>
                <w:sz w:val="21"/>
                <w:szCs w:val="21"/>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4</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食堂油烟</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6000</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油烟</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13.4</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油烟净化器</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8</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2.0</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0.012</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别</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号</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污染源</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名称</w:t>
            </w:r>
          </w:p>
        </w:tc>
        <w:tc>
          <w:tcPr>
            <w:tcW w:w="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/d)</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污染物</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产生浓度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(mg/L)</w:t>
            </w:r>
          </w:p>
        </w:tc>
        <w:tc>
          <w:tcPr>
            <w:tcW w:w="1594"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治理措施</w:t>
            </w: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(mg/L)</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污染物排</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水</w:t>
            </w:r>
          </w:p>
        </w:tc>
        <w:tc>
          <w:tcPr>
            <w:tcW w:w="36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w:t>
            </w:r>
            <w:r>
              <w:rPr>
                <w:rFonts w:hint="default" w:ascii="Times New Roman" w:hAnsi="Times New Roman" w:eastAsia="宋体" w:cs="Times New Roman"/>
                <w:b w:val="0"/>
                <w:bCs w:val="0"/>
                <w:color w:val="auto"/>
                <w:spacing w:val="-20"/>
                <w:kern w:val="2"/>
                <w:sz w:val="21"/>
                <w:szCs w:val="21"/>
                <w:vertAlign w:val="subscript"/>
              </w:rPr>
              <w:t>1</w:t>
            </w:r>
          </w:p>
        </w:tc>
        <w:tc>
          <w:tcPr>
            <w:tcW w:w="107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酸碱废水</w:t>
            </w:r>
          </w:p>
        </w:tc>
        <w:tc>
          <w:tcPr>
            <w:tcW w:w="7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65</w:t>
            </w:r>
          </w:p>
        </w:tc>
        <w:tc>
          <w:tcPr>
            <w:tcW w:w="70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pH</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COD</w:t>
            </w:r>
          </w:p>
        </w:tc>
        <w:tc>
          <w:tcPr>
            <w:tcW w:w="78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6～9</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283</w:t>
            </w:r>
          </w:p>
        </w:tc>
        <w:tc>
          <w:tcPr>
            <w:tcW w:w="91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酸碱废液</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处理设施</w:t>
            </w:r>
          </w:p>
        </w:tc>
        <w:tc>
          <w:tcPr>
            <w:tcW w:w="684"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综合废水</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处理站</w:t>
            </w:r>
          </w:p>
        </w:tc>
        <w:tc>
          <w:tcPr>
            <w:tcW w:w="1387" w:type="dxa"/>
            <w:gridSpan w:val="2"/>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SS</w:t>
            </w:r>
            <w:r>
              <w:rPr>
                <w:rFonts w:hint="default" w:ascii="Times New Roman" w:hAnsi="Times New Roman" w:eastAsia="宋体" w:cs="Times New Roman"/>
                <w:b w:val="0"/>
                <w:bCs w:val="0"/>
                <w:color w:val="auto"/>
                <w:spacing w:val="-20"/>
                <w:kern w:val="2"/>
                <w:sz w:val="21"/>
                <w:szCs w:val="21"/>
                <w:lang w:eastAsia="zh-CN"/>
              </w:rPr>
              <w:t>：</w:t>
            </w:r>
            <w:r>
              <w:rPr>
                <w:rFonts w:hint="default" w:ascii="Times New Roman" w:hAnsi="Times New Roman" w:eastAsia="宋体" w:cs="Times New Roman"/>
                <w:b w:val="0"/>
                <w:bCs w:val="0"/>
                <w:color w:val="auto"/>
                <w:spacing w:val="-20"/>
                <w:kern w:val="2"/>
                <w:sz w:val="21"/>
                <w:szCs w:val="21"/>
                <w:lang w:val="en-US" w:eastAsia="zh-CN"/>
              </w:rPr>
              <w:t>8</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COD</w:t>
            </w:r>
            <w:r>
              <w:rPr>
                <w:rFonts w:hint="default" w:ascii="Times New Roman" w:hAnsi="Times New Roman" w:eastAsia="宋体" w:cs="Times New Roman"/>
                <w:b w:val="0"/>
                <w:bCs w:val="0"/>
                <w:color w:val="auto"/>
                <w:spacing w:val="-20"/>
                <w:kern w:val="2"/>
                <w:sz w:val="21"/>
                <w:szCs w:val="21"/>
                <w:lang w:val="en-US" w:eastAsia="zh-CN"/>
              </w:rPr>
              <w:t>:35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NH</w:t>
            </w:r>
            <w:r>
              <w:rPr>
                <w:rFonts w:hint="default" w:ascii="Times New Roman" w:hAnsi="Times New Roman" w:eastAsia="宋体" w:cs="Times New Roman"/>
                <w:b w:val="0"/>
                <w:bCs w:val="0"/>
                <w:color w:val="auto"/>
                <w:spacing w:val="-20"/>
                <w:kern w:val="2"/>
                <w:sz w:val="21"/>
                <w:szCs w:val="21"/>
                <w:vertAlign w:val="subscript"/>
              </w:rPr>
              <w:t>3</w:t>
            </w:r>
            <w:r>
              <w:rPr>
                <w:rFonts w:hint="default" w:ascii="Times New Roman" w:hAnsi="Times New Roman" w:eastAsia="宋体" w:cs="Times New Roman"/>
                <w:b w:val="0"/>
                <w:bCs w:val="0"/>
                <w:color w:val="auto"/>
                <w:spacing w:val="-20"/>
                <w:kern w:val="2"/>
                <w:sz w:val="21"/>
                <w:szCs w:val="21"/>
              </w:rPr>
              <w:t>-N</w:t>
            </w:r>
            <w:r>
              <w:rPr>
                <w:rFonts w:hint="default" w:ascii="Times New Roman" w:hAnsi="Times New Roman" w:eastAsia="宋体" w:cs="Times New Roman"/>
                <w:b w:val="0"/>
                <w:bCs w:val="0"/>
                <w:color w:val="auto"/>
                <w:spacing w:val="-20"/>
                <w:kern w:val="2"/>
                <w:sz w:val="21"/>
                <w:szCs w:val="21"/>
                <w:lang w:val="en-US" w:eastAsia="zh-CN"/>
              </w:rPr>
              <w:t>:0.4</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总铬</w:t>
            </w:r>
            <w:r>
              <w:rPr>
                <w:rFonts w:hint="default" w:ascii="Times New Roman" w:hAnsi="Times New Roman" w:eastAsia="宋体" w:cs="Times New Roman"/>
                <w:b w:val="0"/>
                <w:bCs w:val="0"/>
                <w:color w:val="auto"/>
                <w:spacing w:val="-20"/>
                <w:kern w:val="2"/>
                <w:sz w:val="21"/>
                <w:szCs w:val="21"/>
                <w:lang w:val="en-US" w:eastAsia="zh-CN"/>
              </w:rPr>
              <w:t>:0.07</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p>
        </w:tc>
        <w:tc>
          <w:tcPr>
            <w:tcW w:w="1229"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0.</w:t>
            </w:r>
            <w:r>
              <w:rPr>
                <w:rFonts w:hint="default" w:ascii="Times New Roman" w:hAnsi="Times New Roman" w:eastAsia="宋体" w:cs="Times New Roman"/>
                <w:b w:val="0"/>
                <w:bCs w:val="0"/>
                <w:color w:val="auto"/>
                <w:spacing w:val="-20"/>
                <w:kern w:val="2"/>
                <w:sz w:val="21"/>
                <w:szCs w:val="21"/>
                <w:lang w:val="en-US" w:eastAsia="zh-CN"/>
              </w:rPr>
              <w:t>300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1.313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0.</w:t>
            </w:r>
            <w:r>
              <w:rPr>
                <w:rFonts w:hint="default" w:ascii="Times New Roman" w:hAnsi="Times New Roman" w:eastAsia="宋体" w:cs="Times New Roman"/>
                <w:b w:val="0"/>
                <w:bCs w:val="0"/>
                <w:color w:val="auto"/>
                <w:spacing w:val="-20"/>
                <w:kern w:val="2"/>
                <w:sz w:val="21"/>
                <w:szCs w:val="21"/>
                <w:lang w:val="en-US" w:eastAsia="zh-CN"/>
              </w:rPr>
              <w:t>015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0.263kg</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w:t>
            </w:r>
            <w:r>
              <w:rPr>
                <w:rFonts w:hint="default" w:ascii="Times New Roman" w:hAnsi="Times New Roman" w:eastAsia="宋体" w:cs="Times New Roman"/>
                <w:b w:val="0"/>
                <w:bCs w:val="0"/>
                <w:color w:val="auto"/>
                <w:spacing w:val="-20"/>
                <w:kern w:val="2"/>
                <w:sz w:val="21"/>
                <w:szCs w:val="21"/>
                <w:vertAlign w:val="subscript"/>
              </w:rPr>
              <w:t>2</w:t>
            </w:r>
          </w:p>
        </w:tc>
        <w:tc>
          <w:tcPr>
            <w:tcW w:w="107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含重金</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属废水</w:t>
            </w:r>
          </w:p>
        </w:tc>
        <w:tc>
          <w:tcPr>
            <w:tcW w:w="7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40</w:t>
            </w:r>
          </w:p>
        </w:tc>
        <w:tc>
          <w:tcPr>
            <w:tcW w:w="70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SS</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COD</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总锌</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总铬</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六价铬</w:t>
            </w:r>
          </w:p>
        </w:tc>
        <w:tc>
          <w:tcPr>
            <w:tcW w:w="78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31</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8.0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4.4</w:t>
            </w:r>
          </w:p>
        </w:tc>
        <w:tc>
          <w:tcPr>
            <w:tcW w:w="91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含铬废水</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处理设施</w:t>
            </w:r>
          </w:p>
        </w:tc>
        <w:tc>
          <w:tcPr>
            <w:tcW w:w="6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w:t>
            </w:r>
            <w:r>
              <w:rPr>
                <w:rFonts w:hint="default" w:ascii="Times New Roman" w:hAnsi="Times New Roman" w:eastAsia="宋体" w:cs="Times New Roman"/>
                <w:b w:val="0"/>
                <w:bCs w:val="0"/>
                <w:color w:val="auto"/>
                <w:spacing w:val="-20"/>
                <w:kern w:val="2"/>
                <w:sz w:val="21"/>
                <w:szCs w:val="21"/>
                <w:vertAlign w:val="subscript"/>
              </w:rPr>
              <w:t>3</w:t>
            </w:r>
          </w:p>
        </w:tc>
        <w:tc>
          <w:tcPr>
            <w:tcW w:w="107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其他</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废水</w:t>
            </w:r>
          </w:p>
        </w:tc>
        <w:tc>
          <w:tcPr>
            <w:tcW w:w="7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20</w:t>
            </w:r>
          </w:p>
        </w:tc>
        <w:tc>
          <w:tcPr>
            <w:tcW w:w="70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SS</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COD</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BOD5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NH</w:t>
            </w:r>
            <w:r>
              <w:rPr>
                <w:rFonts w:hint="default" w:ascii="Times New Roman" w:hAnsi="Times New Roman" w:eastAsia="宋体" w:cs="Times New Roman"/>
                <w:b w:val="0"/>
                <w:bCs w:val="0"/>
                <w:color w:val="auto"/>
                <w:spacing w:val="-20"/>
                <w:kern w:val="2"/>
                <w:sz w:val="21"/>
                <w:szCs w:val="21"/>
                <w:vertAlign w:val="subscript"/>
              </w:rPr>
              <w:t>3</w:t>
            </w:r>
            <w:r>
              <w:rPr>
                <w:rFonts w:hint="default" w:ascii="Times New Roman" w:hAnsi="Times New Roman" w:eastAsia="宋体" w:cs="Times New Roman"/>
                <w:b w:val="0"/>
                <w:bCs w:val="0"/>
                <w:color w:val="auto"/>
                <w:spacing w:val="-20"/>
                <w:kern w:val="2"/>
                <w:sz w:val="21"/>
                <w:szCs w:val="21"/>
              </w:rPr>
              <w:t>-N</w:t>
            </w:r>
          </w:p>
        </w:tc>
        <w:tc>
          <w:tcPr>
            <w:tcW w:w="78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291</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435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343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34.1</w:t>
            </w:r>
          </w:p>
        </w:tc>
        <w:tc>
          <w:tcPr>
            <w:tcW w:w="91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t>
            </w:r>
          </w:p>
        </w:tc>
        <w:tc>
          <w:tcPr>
            <w:tcW w:w="684"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别</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号</w:t>
            </w:r>
          </w:p>
        </w:tc>
        <w:tc>
          <w:tcPr>
            <w:tcW w:w="18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污染源名称</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产生量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(t/a)</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类别</w:t>
            </w:r>
          </w:p>
        </w:tc>
        <w:tc>
          <w:tcPr>
            <w:tcW w:w="159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处置措施</w:t>
            </w: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(t/a)</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固</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rPr>
              <w:t>1</w:t>
            </w:r>
          </w:p>
        </w:tc>
        <w:tc>
          <w:tcPr>
            <w:tcW w:w="18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含铬污泥</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20</w:t>
            </w:r>
          </w:p>
        </w:tc>
        <w:tc>
          <w:tcPr>
            <w:tcW w:w="7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危险</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废物</w:t>
            </w:r>
          </w:p>
        </w:tc>
        <w:tc>
          <w:tcPr>
            <w:tcW w:w="159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送河北金隅红树</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林</w:t>
            </w:r>
            <w:r>
              <w:rPr>
                <w:rFonts w:hint="default" w:ascii="Times New Roman" w:hAnsi="Times New Roman" w:eastAsia="宋体" w:cs="Times New Roman"/>
                <w:b w:val="0"/>
                <w:bCs w:val="0"/>
                <w:color w:val="auto"/>
                <w:spacing w:val="-20"/>
                <w:kern w:val="2"/>
                <w:sz w:val="21"/>
                <w:szCs w:val="21"/>
                <w:lang w:eastAsia="zh-CN"/>
              </w:rPr>
              <w:t>和石家庄翔宇</w:t>
            </w:r>
            <w:r>
              <w:rPr>
                <w:rFonts w:hint="default" w:ascii="Times New Roman" w:hAnsi="Times New Roman" w:eastAsia="宋体" w:cs="Times New Roman"/>
                <w:b w:val="0"/>
                <w:bCs w:val="0"/>
                <w:color w:val="auto"/>
                <w:spacing w:val="-20"/>
                <w:kern w:val="2"/>
                <w:sz w:val="21"/>
                <w:szCs w:val="21"/>
              </w:rPr>
              <w:t>环保公司处置</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全部综合利</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用或妥善处理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rPr>
              <w:t>2</w:t>
            </w:r>
          </w:p>
        </w:tc>
        <w:tc>
          <w:tcPr>
            <w:tcW w:w="1838"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电镀残渣</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val="en-US" w:eastAsia="zh-CN"/>
              </w:rPr>
              <w:t>3</w:t>
            </w:r>
          </w:p>
        </w:tc>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59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81"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rPr>
              <w:t>3</w:t>
            </w:r>
          </w:p>
        </w:tc>
        <w:tc>
          <w:tcPr>
            <w:tcW w:w="1838"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废水处理污泥</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lang w:val="en-US" w:eastAsia="zh-CN"/>
              </w:rPr>
              <w:t>1</w:t>
            </w:r>
            <w:r>
              <w:rPr>
                <w:rFonts w:hint="default" w:ascii="Times New Roman" w:hAnsi="Times New Roman" w:eastAsia="宋体" w:cs="Times New Roman"/>
                <w:b w:val="0"/>
                <w:bCs w:val="0"/>
                <w:color w:val="auto"/>
                <w:spacing w:val="-20"/>
                <w:kern w:val="2"/>
                <w:sz w:val="21"/>
                <w:szCs w:val="21"/>
              </w:rPr>
              <w:t>2</w:t>
            </w:r>
          </w:p>
        </w:tc>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59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lang w:val="en-US" w:eastAsia="zh-CN"/>
              </w:rPr>
              <w:t>4</w:t>
            </w:r>
          </w:p>
        </w:tc>
        <w:tc>
          <w:tcPr>
            <w:tcW w:w="1838"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生活垃圾</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一般固废</w:t>
            </w:r>
          </w:p>
        </w:tc>
        <w:tc>
          <w:tcPr>
            <w:tcW w:w="1594"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由</w:t>
            </w:r>
            <w:r>
              <w:rPr>
                <w:rFonts w:hint="default" w:ascii="Times New Roman" w:hAnsi="Times New Roman" w:eastAsia="宋体" w:cs="Times New Roman"/>
                <w:b w:val="0"/>
                <w:bCs w:val="0"/>
                <w:color w:val="auto"/>
                <w:spacing w:val="-20"/>
                <w:kern w:val="2"/>
                <w:sz w:val="21"/>
                <w:szCs w:val="21"/>
                <w:lang w:eastAsia="zh-CN"/>
              </w:rPr>
              <w:t>任</w:t>
            </w:r>
            <w:r>
              <w:rPr>
                <w:rFonts w:hint="default" w:ascii="Times New Roman" w:hAnsi="Times New Roman" w:eastAsia="宋体" w:cs="Times New Roman"/>
                <w:b w:val="0"/>
                <w:bCs w:val="0"/>
                <w:color w:val="auto"/>
                <w:spacing w:val="-20"/>
                <w:kern w:val="2"/>
                <w:sz w:val="21"/>
                <w:szCs w:val="21"/>
              </w:rPr>
              <w:t>县环卫</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部门负责清运</w:t>
            </w: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bl>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69" w:name="_Toc2965"/>
      <w:bookmarkStart w:id="70" w:name="_Toc3210"/>
      <w:r>
        <w:rPr>
          <w:rFonts w:hint="default" w:ascii="Times New Roman" w:hAnsi="Times New Roman" w:eastAsia="宋体" w:cs="Times New Roman"/>
          <w:color w:val="auto"/>
          <w:sz w:val="28"/>
          <w:szCs w:val="28"/>
          <w:lang w:val="en-US" w:eastAsia="zh-CN"/>
        </w:rPr>
        <w:t>3.3 污水处理</w:t>
      </w:r>
      <w:bookmarkEnd w:id="69"/>
      <w:bookmarkEnd w:id="70"/>
    </w:p>
    <w:p>
      <w:pPr>
        <w:pageBreakBefore w:val="0"/>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邢台兴安液压机械有限公司现有工程废水主要为电镀铬工序费废水、电镀铁工序废水、酸雾净化废水、车间地面冲洗废水以及职工生活污水等。污水中主要污水物质为pH、COD、SS、石油类、铁以及六价铬。</w:t>
      </w:r>
    </w:p>
    <w:p>
      <w:pPr>
        <w:pageBreakBefore w:val="0"/>
        <w:numPr>
          <w:ilvl w:val="0"/>
          <w:numId w:val="3"/>
        </w:numPr>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含重金属离子处理设施</w:t>
      </w:r>
    </w:p>
    <w:p>
      <w:pPr>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含重金属离子废水主要由镀铬车间产生，处理设施工艺流程见图3.3-1。</w:t>
      </w:r>
    </w:p>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273040" cy="1866900"/>
            <wp:effectExtent l="0" t="0" r="381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48"/>
                    <a:stretch>
                      <a:fillRect/>
                    </a:stretch>
                  </pic:blipFill>
                  <pic:spPr>
                    <a:xfrm>
                      <a:off x="0" y="0"/>
                      <a:ext cx="5273040" cy="1866900"/>
                    </a:xfrm>
                    <a:prstGeom prst="rect">
                      <a:avLst/>
                    </a:prstGeom>
                    <a:noFill/>
                    <a:ln>
                      <a:noFill/>
                    </a:ln>
                  </pic:spPr>
                </pic:pic>
              </a:graphicData>
            </a:graphic>
          </wp:inline>
        </w:drawing>
      </w:r>
      <w:r>
        <w:rPr>
          <w:rFonts w:hint="default" w:ascii="Times New Roman" w:hAnsi="Times New Roman" w:eastAsia="宋体" w:cs="Times New Roman"/>
          <w:b/>
          <w:bCs/>
          <w:color w:val="auto"/>
          <w:kern w:val="0"/>
          <w:sz w:val="24"/>
          <w:szCs w:val="24"/>
          <w:lang w:val="en-US" w:eastAsia="zh-CN" w:bidi="ar"/>
        </w:rPr>
        <w:t>图3.3-1  含铬废水处理工艺流程图</w:t>
      </w:r>
    </w:p>
    <w:p>
      <w:pPr>
        <w:pageBreakBefore w:val="0"/>
        <w:numPr>
          <w:ilvl w:val="0"/>
          <w:numId w:val="3"/>
        </w:numPr>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综合污水处理站</w:t>
      </w:r>
    </w:p>
    <w:p>
      <w:pPr>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合污水处理设施处理的废水主要是酸碱废水、含铁废水。其中酸碱废水主要由前处理工序除油、酸洗过程也能够产生。处理工艺主要“还原+调节+中和+沉淀+过滤”。产生的上清液送入生化车间处理，沉淀池产生的污泥压滤后填埋。处理设施工艺流程见图3.3-2。</w:t>
      </w:r>
    </w:p>
    <w:p>
      <w:pPr>
        <w:pStyle w:val="2"/>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272405" cy="2107565"/>
            <wp:effectExtent l="0" t="0" r="4445" b="698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49"/>
                    <a:stretch>
                      <a:fillRect/>
                    </a:stretch>
                  </pic:blipFill>
                  <pic:spPr>
                    <a:xfrm>
                      <a:off x="0" y="0"/>
                      <a:ext cx="5272405" cy="2107565"/>
                    </a:xfrm>
                    <a:prstGeom prst="rect">
                      <a:avLst/>
                    </a:prstGeom>
                    <a:noFill/>
                    <a:ln>
                      <a:noFill/>
                    </a:ln>
                  </pic:spPr>
                </pic:pic>
              </a:graphicData>
            </a:graphic>
          </wp:inline>
        </w:drawing>
      </w:r>
    </w:p>
    <w:p>
      <w:pPr>
        <w:pageBreakBefore w:val="0"/>
        <w:numPr>
          <w:ilvl w:val="0"/>
          <w:numId w:val="0"/>
        </w:numPr>
        <w:kinsoku/>
        <w:wordWrap/>
        <w:overflowPunct/>
        <w:topLinePunct w:val="0"/>
        <w:bidi w:val="0"/>
        <w:spacing w:line="360" w:lineRule="auto"/>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图3.3-2  综合废水处理工艺流程图</w:t>
      </w:r>
    </w:p>
    <w:p>
      <w:pPr>
        <w:pageBreakBefore w:val="0"/>
        <w:numPr>
          <w:ilvl w:val="0"/>
          <w:numId w:val="3"/>
        </w:numPr>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生化处理车间</w:t>
      </w:r>
    </w:p>
    <w:p>
      <w:pPr>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综合污水处理站处理的废水上清液与生活污水进入到生化处理车间。废水首先进入均质调节池，调节水质水量，而后利用提升泵将废水提升至水解酸化池，将难被生物降解的大分子物质转化为易被降解得小分子物质，从而改善废水的可生化性。经水解酸化的废水进入A/O反应系统，去除废水中大部分有机物，减小后期生化处理负荷。生化处理工艺流程见图3.3-3。</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273040" cy="3543300"/>
            <wp:effectExtent l="0" t="0" r="381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50"/>
                    <a:stretch>
                      <a:fillRect/>
                    </a:stretch>
                  </pic:blipFill>
                  <pic:spPr>
                    <a:xfrm>
                      <a:off x="0" y="0"/>
                      <a:ext cx="5273040" cy="3543300"/>
                    </a:xfrm>
                    <a:prstGeom prst="rect">
                      <a:avLst/>
                    </a:prstGeom>
                    <a:noFill/>
                    <a:ln>
                      <a:noFill/>
                    </a:ln>
                  </pic:spPr>
                </pic:pic>
              </a:graphicData>
            </a:graphic>
          </wp:inline>
        </w:drawing>
      </w:r>
    </w:p>
    <w:p>
      <w:pPr>
        <w:bidi w:val="0"/>
        <w:jc w:val="center"/>
        <w:rPr>
          <w:rFonts w:hint="default"/>
          <w:b/>
          <w:bCs/>
          <w:lang w:val="en-US" w:eastAsia="zh-CN"/>
        </w:rPr>
      </w:pPr>
      <w:r>
        <w:rPr>
          <w:rFonts w:hint="default"/>
          <w:b/>
          <w:bCs/>
          <w:lang w:val="en-US" w:eastAsia="zh-CN"/>
        </w:rPr>
        <w:t>图3.3-3  生化处理工艺流程图</w:t>
      </w:r>
    </w:p>
    <w:p>
      <w:pPr>
        <w:pStyle w:val="2"/>
        <w:rPr>
          <w:rFonts w:hint="default" w:ascii="Times New Roman" w:hAnsi="Times New Roman" w:eastAsia="宋体" w:cs="Times New Roman"/>
          <w:b/>
          <w:bCs/>
          <w:lang w:val="en-US" w:eastAsia="zh-CN"/>
        </w:rPr>
      </w:pPr>
    </w:p>
    <w:p>
      <w:pPr>
        <w:rPr>
          <w:rFonts w:hint="default" w:ascii="Times New Roman" w:hAnsi="Times New Roman" w:eastAsia="宋体" w:cs="Times New Roman"/>
          <w:lang w:val="en-US" w:eastAsia="zh-CN"/>
        </w:rPr>
      </w:pPr>
      <w:bookmarkStart w:id="71" w:name="_Toc30789"/>
      <w:r>
        <w:rPr>
          <w:rFonts w:hint="default" w:ascii="Times New Roman" w:hAnsi="Times New Roman" w:eastAsia="宋体" w:cs="Times New Roman"/>
          <w:lang w:val="en-US" w:eastAsia="zh-CN"/>
        </w:rPr>
        <w:br w:type="page"/>
      </w:r>
    </w:p>
    <w:p>
      <w:pPr>
        <w:pStyle w:val="4"/>
        <w:bidi w:val="0"/>
        <w:ind w:left="0" w:leftChars="0" w:firstLine="0" w:firstLineChars="0"/>
        <w:rPr>
          <w:rFonts w:hint="default" w:ascii="Times New Roman" w:hAnsi="Times New Roman" w:eastAsia="宋体" w:cs="Times New Roman"/>
          <w:sz w:val="30"/>
          <w:szCs w:val="30"/>
          <w:lang w:val="en-US" w:eastAsia="zh-CN"/>
        </w:rPr>
      </w:pPr>
      <w:bookmarkStart w:id="72" w:name="_Toc2453"/>
      <w:r>
        <w:rPr>
          <w:rFonts w:hint="default" w:ascii="Times New Roman" w:hAnsi="Times New Roman" w:eastAsia="宋体" w:cs="Times New Roman"/>
          <w:sz w:val="30"/>
          <w:szCs w:val="30"/>
          <w:lang w:val="en-US" w:eastAsia="zh-CN"/>
        </w:rPr>
        <w:t>4 布点方案</w:t>
      </w:r>
      <w:bookmarkEnd w:id="71"/>
      <w:bookmarkEnd w:id="72"/>
    </w:p>
    <w:p>
      <w:pPr>
        <w:pStyle w:val="5"/>
        <w:bidi w:val="0"/>
        <w:ind w:left="0" w:leftChars="0" w:firstLine="0" w:firstLineChars="0"/>
        <w:rPr>
          <w:rFonts w:hint="default" w:ascii="Times New Roman" w:hAnsi="Times New Roman" w:eastAsia="宋体" w:cs="Times New Roman"/>
          <w:sz w:val="28"/>
          <w:szCs w:val="28"/>
          <w:lang w:val="en-US" w:eastAsia="zh-CN"/>
        </w:rPr>
      </w:pPr>
      <w:bookmarkStart w:id="73" w:name="_Toc17714"/>
      <w:bookmarkStart w:id="74" w:name="_Toc30819"/>
      <w:r>
        <w:rPr>
          <w:rFonts w:hint="default" w:ascii="Times New Roman" w:hAnsi="Times New Roman" w:eastAsia="宋体" w:cs="Times New Roman"/>
          <w:sz w:val="28"/>
          <w:szCs w:val="28"/>
          <w:lang w:val="en-US" w:eastAsia="zh-CN"/>
        </w:rPr>
        <w:t>4.1 布点原则</w:t>
      </w:r>
      <w:bookmarkEnd w:id="73"/>
      <w:bookmarkEnd w:id="74"/>
    </w:p>
    <w:p>
      <w:pPr>
        <w:pStyle w:val="6"/>
        <w:bidi w:val="0"/>
        <w:ind w:left="0" w:leftChars="0" w:firstLine="0" w:firstLineChars="0"/>
        <w:rPr>
          <w:rFonts w:hint="default"/>
          <w:lang w:val="en-US" w:eastAsia="zh-CN"/>
        </w:rPr>
      </w:pPr>
      <w:bookmarkStart w:id="75" w:name="_Toc17037"/>
      <w:bookmarkStart w:id="76" w:name="_Toc5527"/>
      <w:r>
        <w:rPr>
          <w:rFonts w:hint="default"/>
          <w:lang w:val="en-US" w:eastAsia="zh-CN"/>
        </w:rPr>
        <w:t>4.1.1 监测对象</w:t>
      </w:r>
      <w:bookmarkEnd w:id="75"/>
      <w:bookmarkEnd w:id="76"/>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根据《在产企业土壤及地下水自行监测技术指南》（以下简称自行监测指南）在产企业自行监测对象为：识别出的重点设施及重点区域</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（1）重点设施：生产设施、储罐、管槽、污水管线等；</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（2）重点区域：生产区、储存区、固废贮存或处置区、曾发生泄露事故或污染施工区域、污水处理区等。本项目场地重点区域包括表面处理车间、热处理车间、污水处理区和危废堆放区。</w:t>
      </w:r>
    </w:p>
    <w:p>
      <w:pPr>
        <w:pStyle w:val="6"/>
        <w:bidi w:val="0"/>
        <w:ind w:left="0" w:leftChars="0" w:firstLine="0" w:firstLineChars="0"/>
        <w:rPr>
          <w:rFonts w:hint="default"/>
          <w:lang w:val="en-US" w:eastAsia="zh-CN"/>
        </w:rPr>
      </w:pPr>
      <w:bookmarkStart w:id="77" w:name="_Toc19473"/>
      <w:bookmarkStart w:id="78" w:name="_Toc28365"/>
      <w:r>
        <w:rPr>
          <w:rFonts w:hint="default"/>
          <w:lang w:val="en-US" w:eastAsia="zh-CN"/>
        </w:rPr>
        <w:t>4.1.2 土壤监测位置及数量</w:t>
      </w:r>
      <w:bookmarkEnd w:id="77"/>
      <w:bookmarkEnd w:id="78"/>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（1）土壤一般监测</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1）监测点数量及位置：重点设施周边：1~2个；重点区域：2~3个。</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2）采样深度：表层土壤（0.2 m处）为重点采样层、污染物性质、土层性质。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（2）土壤气监测（关注污染物：挥发性有机物）</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1）位置及数量：重点设施周边或重点区域：至少1个。</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2）深度：①地面以下1.5 m处；②钻探过程</w:t>
      </w:r>
      <w:r>
        <w:rPr>
          <w:rFonts w:hint="eastAsia" w:cs="Times New Roman"/>
          <w:lang w:val="en-US" w:eastAsia="zh-CN"/>
        </w:rPr>
        <w:t>若</w:t>
      </w:r>
      <w:r>
        <w:rPr>
          <w:rFonts w:hint="default" w:ascii="Times New Roman" w:hAnsi="Times New Roman" w:eastAsia="宋体" w:cs="Times New Roman"/>
          <w:lang w:val="en-US" w:eastAsia="zh-CN"/>
        </w:rPr>
        <w:t>发现该区域已存在污染，且现场挥发性有机物便携检测设备读数较高的位置；③埋藏于地下的设施附近，如涉及有毒有害污染物的地下罐槽、管线等周边等。</w:t>
      </w:r>
    </w:p>
    <w:p>
      <w:pPr>
        <w:pStyle w:val="6"/>
        <w:bidi w:val="0"/>
        <w:ind w:left="0" w:leftChars="0" w:firstLine="0" w:firstLineChars="0"/>
        <w:rPr>
          <w:rFonts w:hint="eastAsia"/>
          <w:lang w:val="en-US" w:eastAsia="zh-CN"/>
        </w:rPr>
      </w:pPr>
      <w:bookmarkStart w:id="79" w:name="_Toc18344"/>
      <w:r>
        <w:rPr>
          <w:rFonts w:hint="eastAsia"/>
          <w:lang w:val="en-US" w:eastAsia="zh-CN"/>
        </w:rPr>
        <w:t>4.1.3 地下水监测</w:t>
      </w:r>
      <w:bookmarkEnd w:id="79"/>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采样点布设原则与方法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根据《在产企业土壤及地下水自行监测技术指南》（征求意见稿）中规定</w:t>
      </w:r>
      <w:r>
        <w:rPr>
          <w:rFonts w:hint="default" w:ascii="Times New Roman" w:hAnsi="Times New Roman" w:eastAsia="宋体" w:cs="Times New Roman"/>
          <w:bCs/>
          <w:color w:val="auto"/>
          <w:sz w:val="24"/>
        </w:rPr>
        <w:t>地下水监测井的布点应</w:t>
      </w:r>
      <w:r>
        <w:rPr>
          <w:rFonts w:hint="default" w:ascii="Times New Roman" w:hAnsi="Times New Roman" w:eastAsia="宋体" w:cs="Times New Roman"/>
          <w:bCs/>
          <w:color w:val="auto"/>
          <w:sz w:val="24"/>
          <w:lang w:eastAsia="zh-CN"/>
        </w:rPr>
        <w:t>布设在污染物迁移途径的下游方向。原则上每个存在地下水污染隐患的重点设施周边或重点区域应布设至少</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eastAsia="zh-CN"/>
        </w:rPr>
        <w:t>个地下水监测井，具体数量可根据设施大小、区域内设施数量及污染物扩散途径等实际情况进行适当调整。监测井在垂直方向的</w:t>
      </w:r>
      <w:r>
        <w:rPr>
          <w:rFonts w:hint="default" w:ascii="Times New Roman" w:hAnsi="Times New Roman" w:eastAsia="宋体" w:cs="Times New Roman"/>
          <w:bCs/>
          <w:color w:val="auto"/>
          <w:sz w:val="24"/>
        </w:rPr>
        <w:t>深度应根据</w:t>
      </w:r>
      <w:r>
        <w:rPr>
          <w:rFonts w:hint="default" w:ascii="Times New Roman" w:hAnsi="Times New Roman" w:eastAsia="宋体" w:cs="Times New Roman"/>
          <w:bCs/>
          <w:color w:val="auto"/>
          <w:sz w:val="24"/>
          <w:lang w:eastAsia="zh-CN"/>
        </w:rPr>
        <w:t>污染物性质、含水层厚度以及地层情况</w:t>
      </w:r>
      <w:r>
        <w:rPr>
          <w:rFonts w:hint="default" w:ascii="Times New Roman" w:hAnsi="Times New Roman" w:eastAsia="宋体" w:cs="Times New Roman"/>
          <w:bCs/>
          <w:color w:val="auto"/>
          <w:sz w:val="24"/>
        </w:rPr>
        <w:t>确定</w:t>
      </w:r>
      <w:r>
        <w:rPr>
          <w:rFonts w:hint="default" w:ascii="Times New Roman" w:hAnsi="Times New Roman" w:eastAsia="宋体" w:cs="Times New Roman"/>
          <w:bCs/>
          <w:color w:val="auto"/>
          <w:sz w:val="24"/>
          <w:lang w:eastAsia="zh-CN"/>
        </w:rPr>
        <w:t>，同时考虑季节性的水位波动设置</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eastAsia="zh-CN"/>
        </w:rPr>
        <w:t>地下水监测以调查第一含水层（潜水）为主。</w:t>
      </w: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采样点布设及工作量</w:t>
      </w:r>
    </w:p>
    <w:p>
      <w:pPr>
        <w:keepNext w:val="0"/>
        <w:keepLines w:val="0"/>
        <w:pageBreakBefore w:val="0"/>
        <w:widowControl/>
        <w:suppressLineNumbers w:val="0"/>
        <w:kinsoku/>
        <w:wordWrap/>
        <w:overflowPunct/>
        <w:topLinePunct w:val="0"/>
        <w:bidi w:val="0"/>
        <w:spacing w:line="360" w:lineRule="auto"/>
        <w:jc w:val="left"/>
        <w:rPr>
          <w:rFonts w:hint="default"/>
          <w:lang w:val="en-US" w:eastAsia="zh-CN"/>
        </w:rPr>
      </w:pPr>
      <w:r>
        <w:rPr>
          <w:rFonts w:hint="default" w:ascii="Times New Roman" w:hAnsi="Times New Roman" w:eastAsia="宋体" w:cs="Times New Roman"/>
          <w:color w:val="auto"/>
          <w:sz w:val="24"/>
          <w:szCs w:val="24"/>
        </w:rPr>
        <w:t>根据水文地质勘察资料可知</w:t>
      </w:r>
      <w:r>
        <w:rPr>
          <w:rFonts w:hint="default" w:ascii="Times New Roman" w:hAnsi="Times New Roman" w:eastAsia="宋体" w:cs="Times New Roman"/>
          <w:bCs/>
          <w:color w:val="auto"/>
          <w:sz w:val="24"/>
          <w:lang w:eastAsia="zh-CN"/>
        </w:rPr>
        <w:t>任县地下水埋深较深，深度可达</w:t>
      </w:r>
      <w:r>
        <w:rPr>
          <w:rFonts w:hint="default" w:ascii="Times New Roman" w:hAnsi="Times New Roman" w:eastAsia="宋体" w:cs="Times New Roman"/>
          <w:bCs/>
          <w:color w:val="auto"/>
          <w:sz w:val="24"/>
          <w:lang w:val="en-US" w:eastAsia="zh-CN"/>
        </w:rPr>
        <w:t>40 m。考虑到本厂区重点污染物六价铬迁移性，根据</w:t>
      </w:r>
      <w:r>
        <w:rPr>
          <w:rFonts w:hint="default" w:ascii="Times New Roman" w:hAnsi="Times New Roman" w:eastAsia="宋体" w:cs="Times New Roman"/>
          <w:bCs/>
          <w:color w:val="auto"/>
          <w:sz w:val="24"/>
          <w:lang w:eastAsia="zh-CN"/>
        </w:rPr>
        <w:t>《在产企业土壤及地下水自行监测技术指南》（征求意见稿）</w:t>
      </w:r>
      <w:r>
        <w:rPr>
          <w:rFonts w:hint="default" w:ascii="Times New Roman" w:hAnsi="Times New Roman" w:eastAsia="宋体" w:cs="Times New Roman"/>
          <w:bCs/>
          <w:color w:val="auto"/>
          <w:sz w:val="24"/>
        </w:rPr>
        <w:t>要求，本项目在场地</w:t>
      </w:r>
      <w:r>
        <w:rPr>
          <w:rFonts w:hint="default" w:ascii="Times New Roman" w:hAnsi="Times New Roman" w:eastAsia="宋体" w:cs="Times New Roman"/>
          <w:bCs/>
          <w:color w:val="auto"/>
          <w:sz w:val="24"/>
          <w:lang w:eastAsia="zh-CN"/>
        </w:rPr>
        <w:t>污水处理站下游</w:t>
      </w:r>
      <w:r>
        <w:rPr>
          <w:rFonts w:hint="default" w:ascii="Times New Roman" w:hAnsi="Times New Roman" w:eastAsia="宋体" w:cs="Times New Roman"/>
          <w:bCs/>
          <w:color w:val="auto"/>
          <w:sz w:val="24"/>
        </w:rPr>
        <w:t>布设</w:t>
      </w:r>
      <w:r>
        <w:rPr>
          <w:rFonts w:hint="default" w:ascii="Times New Roman" w:hAnsi="Times New Roman" w:eastAsia="宋体" w:cs="Times New Roman"/>
          <w:bCs/>
          <w:color w:val="auto"/>
          <w:sz w:val="24"/>
          <w:lang w:val="en-US" w:eastAsia="zh-CN"/>
        </w:rPr>
        <w:t>1个</w:t>
      </w:r>
      <w:r>
        <w:rPr>
          <w:rFonts w:hint="default" w:ascii="Times New Roman" w:hAnsi="Times New Roman" w:eastAsia="宋体" w:cs="Times New Roman"/>
          <w:bCs/>
          <w:color w:val="auto"/>
          <w:sz w:val="24"/>
        </w:rPr>
        <w:t>监测井。</w:t>
      </w:r>
    </w:p>
    <w:p>
      <w:pPr>
        <w:pStyle w:val="5"/>
        <w:bidi w:val="0"/>
        <w:ind w:left="0" w:leftChars="0" w:firstLine="0" w:firstLineChars="0"/>
        <w:rPr>
          <w:rFonts w:hint="default" w:ascii="Times New Roman" w:hAnsi="Times New Roman" w:eastAsia="宋体" w:cs="Times New Roman"/>
          <w:sz w:val="28"/>
          <w:szCs w:val="28"/>
          <w:lang w:val="en-US" w:eastAsia="zh-CN"/>
        </w:rPr>
      </w:pPr>
      <w:bookmarkStart w:id="80" w:name="_Toc17696"/>
      <w:bookmarkStart w:id="81" w:name="_Toc27344"/>
      <w:r>
        <w:rPr>
          <w:rFonts w:hint="default" w:ascii="Times New Roman" w:hAnsi="Times New Roman" w:eastAsia="宋体" w:cs="Times New Roman"/>
          <w:sz w:val="28"/>
          <w:szCs w:val="28"/>
          <w:lang w:val="en-US" w:eastAsia="zh-CN"/>
        </w:rPr>
        <w:t>4.2 布点方案及检测因子</w:t>
      </w:r>
      <w:bookmarkEnd w:id="80"/>
      <w:bookmarkEnd w:id="81"/>
    </w:p>
    <w:p>
      <w:pPr>
        <w:ind w:firstLine="480"/>
        <w:rPr>
          <w:rFonts w:hint="default" w:ascii="Times New Roman" w:hAnsi="Times New Roman" w:cs="Times New Roman"/>
          <w:lang w:val="en-US" w:eastAsia="zh-CN"/>
        </w:rPr>
      </w:pPr>
      <w:r>
        <w:rPr>
          <w:rFonts w:hint="default" w:ascii="Times New Roman" w:hAnsi="Times New Roman" w:eastAsia="宋体" w:cs="Times New Roman"/>
          <w:lang w:val="en-US" w:eastAsia="zh-CN"/>
        </w:rPr>
        <w:t>根据《场地环境调查技术导则》（HJ25.1-2014）、《土壤环境监测技术规范》（HJ/T166-2004）、《场地环境监测技术导则》（HJ25.2-2014）以及《土壤环境质量 建设用地土壤污染风险管控标准》（GB36600-2018）等相关规范文件，结合污染识别阶段收集到的资料与信息</w:t>
      </w:r>
      <w:r>
        <w:rPr>
          <w:rFonts w:hint="eastAsia" w:ascii="Times New Roman" w:hAnsi="Times New Roman" w:eastAsia="宋体" w:cs="Times New Roman"/>
          <w:lang w:val="en-US" w:eastAsia="zh-CN"/>
        </w:rPr>
        <w:t>，本项目共</w:t>
      </w:r>
      <w:r>
        <w:rPr>
          <w:rFonts w:hint="default" w:ascii="Times New Roman" w:hAnsi="Times New Roman" w:eastAsia="宋体" w:cs="Times New Roman"/>
          <w:color w:val="auto"/>
          <w:sz w:val="24"/>
          <w:szCs w:val="24"/>
          <w:lang w:eastAsia="zh-CN"/>
        </w:rPr>
        <w:t>布置</w:t>
      </w:r>
      <w:r>
        <w:rPr>
          <w:rFonts w:hint="default" w:ascii="Times New Roman" w:hAnsi="Times New Roman" w:eastAsia="宋体" w:cs="Times New Roman"/>
          <w:color w:val="auto"/>
          <w:sz w:val="24"/>
          <w:szCs w:val="24"/>
          <w:lang w:val="en-US" w:eastAsia="zh-CN"/>
        </w:rPr>
        <w:t>5个土壤采样点和1个地下水采样点。</w:t>
      </w:r>
      <w:r>
        <w:rPr>
          <w:rFonts w:hint="default" w:ascii="Times New Roman" w:hAnsi="Times New Roman" w:eastAsia="宋体" w:cs="Times New Roman"/>
          <w:color w:val="auto"/>
          <w:sz w:val="24"/>
          <w:szCs w:val="24"/>
          <w:highlight w:val="none"/>
          <w:lang w:eastAsia="zh-CN"/>
        </w:rPr>
        <w:t>其中办公外租区布设</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lang w:val="en-US" w:eastAsia="zh-CN"/>
        </w:rPr>
        <w:t>土壤采样</w:t>
      </w:r>
      <w:r>
        <w:rPr>
          <w:rFonts w:hint="default" w:ascii="Times New Roman" w:hAnsi="Times New Roman" w:eastAsia="宋体" w:cs="Times New Roman"/>
          <w:color w:val="auto"/>
          <w:sz w:val="24"/>
          <w:szCs w:val="24"/>
          <w:highlight w:val="none"/>
          <w:lang w:val="en-US" w:eastAsia="zh-CN"/>
        </w:rPr>
        <w:t>点位，生产区布设2个</w:t>
      </w:r>
      <w:r>
        <w:rPr>
          <w:rFonts w:hint="default" w:ascii="Times New Roman" w:hAnsi="Times New Roman" w:eastAsia="宋体" w:cs="Times New Roman"/>
          <w:color w:val="auto"/>
          <w:sz w:val="24"/>
          <w:szCs w:val="24"/>
          <w:lang w:val="en-US" w:eastAsia="zh-CN"/>
        </w:rPr>
        <w:t>土壤采样</w:t>
      </w:r>
      <w:r>
        <w:rPr>
          <w:rFonts w:hint="default" w:ascii="Times New Roman" w:hAnsi="Times New Roman" w:eastAsia="宋体" w:cs="Times New Roman"/>
          <w:color w:val="auto"/>
          <w:sz w:val="24"/>
          <w:szCs w:val="24"/>
          <w:highlight w:val="none"/>
          <w:lang w:val="en-US" w:eastAsia="zh-CN"/>
        </w:rPr>
        <w:t>点位，污水处理站区布设2个</w:t>
      </w:r>
      <w:r>
        <w:rPr>
          <w:rFonts w:hint="default" w:ascii="Times New Roman" w:hAnsi="Times New Roman" w:eastAsia="宋体" w:cs="Times New Roman"/>
          <w:color w:val="auto"/>
          <w:sz w:val="24"/>
          <w:szCs w:val="24"/>
          <w:lang w:val="en-US" w:eastAsia="zh-CN"/>
        </w:rPr>
        <w:t>土壤采样</w:t>
      </w:r>
      <w:r>
        <w:rPr>
          <w:rFonts w:hint="default" w:ascii="Times New Roman" w:hAnsi="Times New Roman" w:eastAsia="宋体" w:cs="Times New Roman"/>
          <w:color w:val="auto"/>
          <w:sz w:val="24"/>
          <w:szCs w:val="24"/>
          <w:highlight w:val="none"/>
          <w:lang w:val="en-US" w:eastAsia="zh-CN"/>
        </w:rPr>
        <w:t>点位。</w:t>
      </w:r>
      <w:r>
        <w:rPr>
          <w:rFonts w:hint="default" w:ascii="Times New Roman" w:hAnsi="Times New Roman" w:eastAsia="宋体" w:cs="Times New Roman"/>
          <w:lang w:val="en-US" w:eastAsia="zh-CN"/>
        </w:rPr>
        <w:t>本项目土壤检测因子参考《土壤环境质量 建设用地土壤污染风险管控标准（试行）》（GB36600-2018）及本场地特征污染物情况，设定为pH、重金属、VOCs、SVOCs及TPH。</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地下水采样点布置在污水处理站与生化车间之间位置。</w:t>
      </w:r>
      <w:r>
        <w:rPr>
          <w:rFonts w:hint="default" w:ascii="Times New Roman" w:hAnsi="Times New Roman" w:eastAsia="宋体" w:cs="Times New Roman"/>
          <w:bCs/>
          <w:color w:val="auto"/>
          <w:sz w:val="24"/>
          <w:lang w:eastAsia="zh-CN"/>
        </w:rPr>
        <w:t>本项目地下水的检测因子参考《</w:t>
      </w:r>
      <w:r>
        <w:rPr>
          <w:rFonts w:hint="default" w:ascii="Times New Roman" w:hAnsi="Times New Roman" w:eastAsia="宋体" w:cs="Times New Roman"/>
          <w:bCs/>
          <w:color w:val="auto"/>
          <w:sz w:val="24"/>
          <w:lang w:val="en-US" w:eastAsia="zh-CN"/>
        </w:rPr>
        <w:t>环境影响评价技术导则 地下水环境</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HJ 610-2016</w:t>
      </w:r>
      <w:r>
        <w:rPr>
          <w:rFonts w:hint="default" w:ascii="Times New Roman" w:hAnsi="Times New Roman" w:eastAsia="宋体" w:cs="Times New Roman"/>
          <w:bCs/>
          <w:color w:val="auto"/>
          <w:sz w:val="24"/>
          <w:lang w:eastAsia="zh-CN"/>
        </w:rPr>
        <w:t>）及本场地特征污染物情况，设定为</w:t>
      </w:r>
      <w:r>
        <w:rPr>
          <w:rFonts w:hint="default" w:ascii="Times New Roman" w:hAnsi="Times New Roman" w:eastAsia="宋体" w:cs="Times New Roman"/>
          <w:bCs/>
          <w:color w:val="auto"/>
          <w:sz w:val="24"/>
          <w:lang w:val="en-US" w:eastAsia="zh-CN"/>
        </w:rPr>
        <w:t>pH、氨氮、硝酸盐、亚硝酸盐、挥发性酚类、氰化物、砷、汞、铬(六价)、总硬度、铅、氟、镉、铁、锰、溶解性总固体、高锰酸盐指数、硫酸盐、氯化物、石油类和锌等。</w:t>
      </w:r>
    </w:p>
    <w:p>
      <w:pPr>
        <w:pageBreakBefore w:val="0"/>
        <w:kinsoku/>
        <w:wordWrap/>
        <w:overflowPunct/>
        <w:topLinePunct w:val="0"/>
        <w:autoSpaceDE/>
        <w:autoSpaceDN/>
        <w:bidi w:val="0"/>
        <w:spacing w:line="360" w:lineRule="auto"/>
        <w:ind w:firstLine="480"/>
        <w:rPr>
          <w:rFonts w:hint="default"/>
          <w:lang w:val="en-US" w:eastAsia="zh-CN"/>
        </w:rPr>
      </w:pPr>
      <w:r>
        <w:rPr>
          <w:rFonts w:hint="default" w:ascii="Times New Roman" w:hAnsi="Times New Roman" w:eastAsia="宋体" w:cs="Times New Roman"/>
          <w:color w:val="auto"/>
          <w:sz w:val="24"/>
          <w:szCs w:val="24"/>
        </w:rPr>
        <w:t>土壤和地下水采样点位设置见图4.2-1。土壤</w:t>
      </w:r>
      <w:r>
        <w:rPr>
          <w:rFonts w:hint="default"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地下水监测布点信息</w:t>
      </w:r>
      <w:r>
        <w:rPr>
          <w:rFonts w:hint="default" w:ascii="Times New Roman" w:hAnsi="Times New Roman" w:eastAsia="宋体" w:cs="Times New Roman"/>
          <w:color w:val="auto"/>
          <w:sz w:val="24"/>
          <w:szCs w:val="24"/>
          <w:lang w:eastAsia="zh-CN"/>
        </w:rPr>
        <w:t>详见表</w:t>
      </w:r>
      <w:r>
        <w:rPr>
          <w:rFonts w:hint="default" w:ascii="Times New Roman" w:hAnsi="Times New Roman" w:eastAsia="宋体" w:cs="Times New Roman"/>
          <w:color w:val="auto"/>
          <w:sz w:val="24"/>
          <w:szCs w:val="24"/>
          <w:lang w:val="en-US" w:eastAsia="zh-CN"/>
        </w:rPr>
        <w:t>4.2-1。</w:t>
      </w:r>
    </w:p>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rPr>
      </w:pPr>
      <w:bookmarkStart w:id="82" w:name="_Toc15528"/>
      <w:r>
        <w:rPr>
          <w:rFonts w:hint="default" w:ascii="Times New Roman" w:hAnsi="Times New Roman" w:eastAsia="宋体" w:cs="Times New Roman"/>
          <w:color w:val="auto"/>
        </w:rPr>
        <w:drawing>
          <wp:inline distT="0" distB="0" distL="114300" distR="114300">
            <wp:extent cx="5266690" cy="4511675"/>
            <wp:effectExtent l="0" t="0" r="10160" b="317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51"/>
                    <a:stretch>
                      <a:fillRect/>
                    </a:stretch>
                  </pic:blipFill>
                  <pic:spPr>
                    <a:xfrm>
                      <a:off x="0" y="0"/>
                      <a:ext cx="5266690" cy="4511675"/>
                    </a:xfrm>
                    <a:prstGeom prst="rect">
                      <a:avLst/>
                    </a:prstGeom>
                    <a:noFill/>
                    <a:ln>
                      <a:noFill/>
                    </a:ln>
                  </pic:spPr>
                </pic:pic>
              </a:graphicData>
            </a:graphic>
          </wp:inline>
        </w:drawing>
      </w: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b/>
          <w:bCs/>
          <w:color w:val="auto"/>
          <w:lang w:eastAsia="zh-CN"/>
        </w:rPr>
        <w:t>图</w:t>
      </w:r>
      <w:r>
        <w:rPr>
          <w:rFonts w:hint="default" w:ascii="Times New Roman" w:hAnsi="Times New Roman" w:eastAsia="宋体" w:cs="Times New Roman"/>
          <w:b/>
          <w:bCs/>
          <w:color w:val="auto"/>
          <w:lang w:val="en-US" w:eastAsia="zh-CN"/>
        </w:rPr>
        <w:t>4.2-1  土壤及地下水监测点位示意</w:t>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 xml:space="preserve">4.2-1  </w:t>
      </w:r>
      <w:r>
        <w:rPr>
          <w:rFonts w:hint="default" w:ascii="Times New Roman" w:hAnsi="Times New Roman" w:eastAsia="宋体" w:cs="Times New Roman"/>
          <w:b/>
          <w:bCs/>
          <w:color w:val="auto"/>
        </w:rPr>
        <w:t>土壤</w:t>
      </w:r>
      <w:r>
        <w:rPr>
          <w:rFonts w:hint="default" w:ascii="Times New Roman" w:hAnsi="Times New Roman" w:eastAsia="宋体" w:cs="Times New Roman"/>
          <w:b/>
          <w:bCs/>
          <w:color w:val="auto"/>
          <w:lang w:eastAsia="zh-CN"/>
        </w:rPr>
        <w:t>和</w:t>
      </w:r>
      <w:r>
        <w:rPr>
          <w:rFonts w:hint="default" w:ascii="Times New Roman" w:hAnsi="Times New Roman" w:eastAsia="宋体" w:cs="Times New Roman"/>
          <w:b/>
          <w:bCs/>
          <w:color w:val="auto"/>
        </w:rPr>
        <w:t>地下水监测布点信息</w:t>
      </w:r>
      <w:r>
        <w:rPr>
          <w:rFonts w:hint="default" w:ascii="Times New Roman" w:hAnsi="Times New Roman" w:eastAsia="宋体" w:cs="Times New Roman"/>
          <w:b/>
          <w:bCs/>
          <w:color w:val="auto"/>
          <w:lang w:eastAsia="zh-CN"/>
        </w:rPr>
        <w:t>一览表</w:t>
      </w:r>
    </w:p>
    <w:tbl>
      <w:tblPr>
        <w:tblStyle w:val="15"/>
        <w:tblW w:w="501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1035"/>
        <w:gridCol w:w="1725"/>
        <w:gridCol w:w="1180"/>
        <w:gridCol w:w="1282"/>
        <w:gridCol w:w="1357"/>
        <w:gridCol w:w="2910"/>
        <w:gridCol w:w="45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497"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点位编号</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布点位置</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样品类别</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样品数量（组）</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钻孔深度（m</w:t>
            </w:r>
            <w:r>
              <w:rPr>
                <w:rStyle w:val="23"/>
                <w:rFonts w:hint="default" w:ascii="Times New Roman" w:hAnsi="Times New Roman" w:cs="Times New Roman"/>
                <w:lang w:val="en-US" w:eastAsia="zh-CN" w:bidi="ar"/>
              </w:rPr>
              <w:t>）</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布点依据</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检测因子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S1</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镀铬车间与镀锌车间交界</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判断生产车间是否存在遗撒及管线泄露等污染</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23"/>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23"/>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6"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S2</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危废库与污水处理站之间</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判断生产车间、危废库是否存在遗撒等污染</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23"/>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23"/>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S3</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污水处理站南侧</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判断污水站及各生产车间是否存在遗撒、泄露等污染</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23"/>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23"/>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S4</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机加工车间南侧</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判断机加工等过程是否存在石油类污染及外租区是否存在污染</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23"/>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23"/>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S5</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办公区西侧</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判断办公及外租区是否被污染</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23"/>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4" w:hRule="atLeast"/>
        </w:trPr>
        <w:tc>
          <w:tcPr>
            <w:tcW w:w="3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W1</w:t>
            </w:r>
          </w:p>
        </w:tc>
        <w:tc>
          <w:tcPr>
            <w:tcW w:w="6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生化处理车间东侧</w:t>
            </w:r>
          </w:p>
        </w:tc>
        <w:tc>
          <w:tcPr>
            <w:tcW w:w="42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地下水</w:t>
            </w:r>
          </w:p>
        </w:tc>
        <w:tc>
          <w:tcPr>
            <w:tcW w:w="45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48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3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根据污水流向，在污水处理区下游布置</w:t>
            </w:r>
          </w:p>
        </w:tc>
        <w:tc>
          <w:tcPr>
            <w:tcW w:w="16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pH</w:t>
            </w:r>
            <w:r>
              <w:rPr>
                <w:rStyle w:val="23"/>
                <w:rFonts w:hint="default" w:ascii="Times New Roman" w:hAnsi="Times New Roman" w:cs="Times New Roman"/>
                <w:lang w:val="en-US" w:eastAsia="zh-CN" w:bidi="ar"/>
              </w:rPr>
              <w:t>、氨氮、硝酸盐、亚硝酸盐、挥发性酚类、氰化物、砷、汞、铬</w:t>
            </w:r>
            <w:r>
              <w:rPr>
                <w:rFonts w:hint="default" w:ascii="Times New Roman" w:hAnsi="Times New Roman" w:eastAsia="宋体" w:cs="Times New Roman"/>
                <w:i w:val="0"/>
                <w:color w:val="000000"/>
                <w:kern w:val="0"/>
                <w:sz w:val="21"/>
                <w:szCs w:val="21"/>
                <w:u w:val="none"/>
                <w:lang w:val="en-US" w:eastAsia="zh-CN" w:bidi="ar"/>
              </w:rPr>
              <w:t>(</w:t>
            </w:r>
            <w:r>
              <w:rPr>
                <w:rStyle w:val="23"/>
                <w:rFonts w:hint="default" w:ascii="Times New Roman" w:hAnsi="Times New Roman" w:cs="Times New Roman"/>
                <w:lang w:val="en-US" w:eastAsia="zh-CN" w:bidi="ar"/>
              </w:rPr>
              <w:t>六价</w:t>
            </w:r>
            <w:r>
              <w:rPr>
                <w:rFonts w:hint="default" w:ascii="Times New Roman" w:hAnsi="Times New Roman" w:eastAsia="宋体" w:cs="Times New Roman"/>
                <w:i w:val="0"/>
                <w:color w:val="000000"/>
                <w:kern w:val="0"/>
                <w:sz w:val="21"/>
                <w:szCs w:val="21"/>
                <w:u w:val="none"/>
                <w:lang w:val="en-US" w:eastAsia="zh-CN" w:bidi="ar"/>
              </w:rPr>
              <w:t>)</w:t>
            </w:r>
            <w:r>
              <w:rPr>
                <w:rStyle w:val="23"/>
                <w:rFonts w:hint="default" w:ascii="Times New Roman" w:hAnsi="Times New Roman" w:cs="Times New Roman"/>
                <w:lang w:val="en-US" w:eastAsia="zh-CN" w:bidi="ar"/>
              </w:rPr>
              <w:t>、总硬度、铅、氟、镉、铁、锰、溶解性总固体、高锰酸盐指数、硫酸盐、氯化物、石油类、锌</w:t>
            </w:r>
          </w:p>
        </w:tc>
      </w:tr>
    </w:tbl>
    <w:p>
      <w:pPr>
        <w:pStyle w:val="3"/>
        <w:ind w:left="0" w:leftChars="0" w:firstLine="0" w:firstLineChars="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80" w:after="180"/>
        <w:ind w:left="0" w:leftChars="0" w:firstLine="0" w:firstLineChars="0"/>
        <w:textAlignment w:val="auto"/>
        <w:outlineLvl w:val="0"/>
        <w:rPr>
          <w:rStyle w:val="19"/>
          <w:rFonts w:hint="default"/>
          <w:szCs w:val="22"/>
          <w:lang w:val="en-US" w:eastAsia="zh-CN"/>
        </w:rPr>
      </w:pPr>
      <w:bookmarkStart w:id="83" w:name="_Toc12375"/>
      <w:bookmarkStart w:id="84" w:name="_Toc9886"/>
      <w:r>
        <w:rPr>
          <w:rStyle w:val="19"/>
          <w:rFonts w:hint="default"/>
          <w:szCs w:val="22"/>
          <w:lang w:val="en-US" w:eastAsia="zh-CN"/>
        </w:rPr>
        <w:t>5 样品采集与保存</w:t>
      </w:r>
      <w:bookmarkEnd w:id="83"/>
      <w:bookmarkEnd w:id="84"/>
    </w:p>
    <w:p>
      <w:pPr>
        <w:pStyle w:val="5"/>
        <w:bidi w:val="0"/>
        <w:ind w:left="0" w:leftChars="0" w:firstLine="0" w:firstLineChars="0"/>
        <w:rPr>
          <w:rFonts w:hint="default" w:ascii="Times New Roman" w:hAnsi="Times New Roman" w:eastAsia="宋体" w:cs="Times New Roman"/>
          <w:lang w:val="en-US" w:eastAsia="zh-CN"/>
        </w:rPr>
      </w:pPr>
      <w:bookmarkStart w:id="85" w:name="_Toc27519"/>
      <w:bookmarkStart w:id="86" w:name="_Toc14356"/>
      <w:r>
        <w:rPr>
          <w:rFonts w:hint="eastAsia" w:ascii="Times New Roman" w:hAnsi="Times New Roman" w:eastAsia="宋体" w:cs="Times New Roman"/>
          <w:lang w:val="en-US" w:eastAsia="zh-CN"/>
        </w:rPr>
        <w:t>5.1 土壤样品采集与保存</w:t>
      </w:r>
      <w:bookmarkEnd w:id="85"/>
      <w:bookmarkEnd w:id="86"/>
    </w:p>
    <w:p>
      <w:pPr>
        <w:pStyle w:val="6"/>
        <w:bidi w:val="0"/>
        <w:ind w:left="0" w:leftChars="0" w:firstLine="0" w:firstLineChars="0"/>
        <w:rPr>
          <w:rFonts w:hint="default" w:ascii="Times New Roman" w:hAnsi="Times New Roman" w:eastAsia="宋体" w:cs="Times New Roman"/>
          <w:lang w:val="en-US" w:eastAsia="zh-CN"/>
        </w:rPr>
      </w:pPr>
      <w:bookmarkStart w:id="87" w:name="_Toc955"/>
      <w:bookmarkStart w:id="88" w:name="_Toc22274"/>
      <w:r>
        <w:rPr>
          <w:rFonts w:hint="default" w:ascii="Times New Roman" w:hAnsi="Times New Roman" w:eastAsia="宋体" w:cs="Times New Roman"/>
          <w:lang w:val="en-US" w:eastAsia="zh-CN"/>
        </w:rPr>
        <w:t>5.1</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 xml:space="preserve"> 钻孔</w:t>
      </w:r>
      <w:bookmarkEnd w:id="87"/>
      <w:bookmarkEnd w:id="88"/>
    </w:p>
    <w:p>
      <w:pPr>
        <w:bidi w:val="0"/>
        <w:ind w:left="0"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本项目土壤取样采用钻机或洛阳铲，钻探方法全孔钻进，采样前采用 GPS 进行采样点定位</w:t>
      </w:r>
      <w:r>
        <w:rPr>
          <w:rFonts w:hint="eastAsia" w:cs="Times New Roman"/>
          <w:lang w:val="en-US" w:eastAsia="zh-CN"/>
        </w:rPr>
        <w:t>。</w:t>
      </w:r>
      <w:r>
        <w:rPr>
          <w:rFonts w:hint="default" w:ascii="Times New Roman" w:hAnsi="Times New Roman" w:eastAsia="宋体" w:cs="Times New Roman"/>
          <w:lang w:val="en-US" w:eastAsia="zh-CN"/>
        </w:rPr>
        <w:t>到达目标深度后，将土柱状土壤从取样管取出，按相应深度摆放在地膜之上。可以仔细观察不同深度的土层结构，并观察相应深度是否存在污染迹象，根据土层结构及调查目的判断哪些深度土层送往实验室进行定量分析。确定分析土壤的深度范围后，用取样器剖开相应深度的柱状土芯，取中间部位未受到扰动的土壤装入相应取样瓶中。</w:t>
      </w:r>
    </w:p>
    <w:tbl>
      <w:tblPr>
        <w:tblStyle w:val="16"/>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4"/>
                <w:szCs w:val="24"/>
                <w:vertAlign w:val="baseline"/>
                <w:lang w:val="en-US" w:eastAsia="zh-CN" w:bidi="ar-SA"/>
              </w:rPr>
            </w:pPr>
            <w:r>
              <w:rPr>
                <w:rFonts w:hint="default" w:ascii="Times New Roman" w:hAnsi="Times New Roman" w:eastAsia="宋体" w:cs="Times New Roman"/>
                <w:b/>
                <w:snapToGrid w:val="0"/>
                <w:kern w:val="0"/>
                <w:sz w:val="28"/>
                <w:szCs w:val="28"/>
                <w:lang w:eastAsia="zh-CN"/>
              </w:rPr>
              <w:drawing>
                <wp:inline distT="0" distB="0" distL="114300" distR="114300">
                  <wp:extent cx="2544445" cy="1908175"/>
                  <wp:effectExtent l="0" t="0" r="8255" b="15875"/>
                  <wp:docPr id="21" name="图片 28" descr="IMG_20180403_15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IMG_20180403_151732"/>
                          <pic:cNvPicPr>
                            <a:picLocks noChangeAspect="1"/>
                          </pic:cNvPicPr>
                        </pic:nvPicPr>
                        <pic:blipFill>
                          <a:blip r:embed="rId52"/>
                          <a:stretch>
                            <a:fillRect/>
                          </a:stretch>
                        </pic:blipFill>
                        <pic:spPr>
                          <a:xfrm>
                            <a:off x="0" y="0"/>
                            <a:ext cx="2544445" cy="1908175"/>
                          </a:xfrm>
                          <a:prstGeom prst="rect">
                            <a:avLst/>
                          </a:prstGeom>
                          <a:noFill/>
                          <a:ln>
                            <a:noFill/>
                          </a:ln>
                        </pic:spPr>
                      </pic:pic>
                    </a:graphicData>
                  </a:graphic>
                </wp:inline>
              </w:drawing>
            </w:r>
          </w:p>
        </w:tc>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4"/>
                <w:szCs w:val="24"/>
                <w:vertAlign w:val="baseline"/>
                <w:lang w:val="en-US" w:eastAsia="zh-CN" w:bidi="ar-SA"/>
              </w:rPr>
            </w:pPr>
            <w:r>
              <w:rPr>
                <w:rFonts w:hint="default" w:ascii="Times New Roman" w:hAnsi="Times New Roman" w:eastAsia="宋体" w:cs="Times New Roman"/>
                <w:sz w:val="24"/>
                <w:lang w:eastAsia="zh-CN"/>
              </w:rPr>
              <w:drawing>
                <wp:inline distT="0" distB="0" distL="114300" distR="114300">
                  <wp:extent cx="2528570" cy="1896110"/>
                  <wp:effectExtent l="0" t="0" r="5080" b="8890"/>
                  <wp:docPr id="30" name="图片 29" descr="IMG_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1602"/>
                          <pic:cNvPicPr>
                            <a:picLocks noChangeAspect="1"/>
                          </pic:cNvPicPr>
                        </pic:nvPicPr>
                        <pic:blipFill>
                          <a:blip r:embed="rId53"/>
                          <a:stretch>
                            <a:fillRect/>
                          </a:stretch>
                        </pic:blipFill>
                        <pic:spPr>
                          <a:xfrm>
                            <a:off x="0" y="0"/>
                            <a:ext cx="2528570" cy="18961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4"/>
                <w:szCs w:val="24"/>
                <w:vertAlign w:val="baseline"/>
                <w:lang w:val="en-US" w:eastAsia="zh-CN" w:bidi="ar-SA"/>
              </w:rPr>
            </w:pPr>
            <w:r>
              <w:rPr>
                <w:rFonts w:hint="default" w:ascii="Times New Roman" w:hAnsi="Times New Roman" w:eastAsia="宋体" w:cs="Times New Roman"/>
                <w:b/>
                <w:bCs/>
                <w:vertAlign w:val="baseline"/>
                <w:lang w:val="en-US" w:eastAsia="zh-CN"/>
              </w:rPr>
              <w:t>现场GPS定位</w:t>
            </w:r>
          </w:p>
        </w:tc>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4"/>
                <w:szCs w:val="24"/>
                <w:vertAlign w:val="baseline"/>
                <w:lang w:val="en-US" w:eastAsia="zh-CN" w:bidi="ar-SA"/>
              </w:rPr>
            </w:pPr>
            <w:r>
              <w:rPr>
                <w:rFonts w:hint="default" w:ascii="Times New Roman" w:hAnsi="Times New Roman" w:eastAsia="宋体" w:cs="Times New Roman"/>
                <w:b/>
                <w:bCs/>
                <w:vertAlign w:val="baseline"/>
                <w:lang w:val="en-US" w:eastAsia="zh-CN"/>
              </w:rPr>
              <w:t>现场土壤钻探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rPr>
              <w:drawing>
                <wp:inline distT="0" distB="0" distL="114300" distR="114300">
                  <wp:extent cx="2522855" cy="1895475"/>
                  <wp:effectExtent l="0" t="0" r="10795" b="9525"/>
                  <wp:docPr id="28" name="图片 30" descr="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PID"/>
                          <pic:cNvPicPr>
                            <a:picLocks noChangeAspect="1"/>
                          </pic:cNvPicPr>
                        </pic:nvPicPr>
                        <pic:blipFill>
                          <a:blip r:embed="rId54"/>
                          <a:stretch>
                            <a:fillRect/>
                          </a:stretch>
                        </pic:blipFill>
                        <pic:spPr>
                          <a:xfrm>
                            <a:off x="0" y="0"/>
                            <a:ext cx="2522855" cy="1895475"/>
                          </a:xfrm>
                          <a:prstGeom prst="rect">
                            <a:avLst/>
                          </a:prstGeom>
                          <a:noFill/>
                          <a:ln>
                            <a:noFill/>
                          </a:ln>
                        </pic:spPr>
                      </pic:pic>
                    </a:graphicData>
                  </a:graphic>
                </wp:inline>
              </w:drawing>
            </w:r>
          </w:p>
        </w:tc>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rPr>
              <w:drawing>
                <wp:inline distT="0" distB="0" distL="114300" distR="114300">
                  <wp:extent cx="2522855" cy="1887220"/>
                  <wp:effectExtent l="0" t="0" r="10795" b="17780"/>
                  <wp:docPr id="27" name="图片 31" descr="X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XRF"/>
                          <pic:cNvPicPr>
                            <a:picLocks noChangeAspect="1"/>
                          </pic:cNvPicPr>
                        </pic:nvPicPr>
                        <pic:blipFill>
                          <a:blip r:embed="rId55"/>
                          <a:stretch>
                            <a:fillRect/>
                          </a:stretch>
                        </pic:blipFill>
                        <pic:spPr>
                          <a:xfrm>
                            <a:off x="0" y="0"/>
                            <a:ext cx="2522855" cy="18872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现场PID快速检测</w:t>
            </w:r>
          </w:p>
        </w:tc>
        <w:tc>
          <w:tcPr>
            <w:tcW w:w="4261" w:type="dxa"/>
            <w:noWrap w:val="0"/>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现场XRF快速检测</w:t>
            </w:r>
          </w:p>
        </w:tc>
      </w:tr>
    </w:tbl>
    <w:p>
      <w:pPr>
        <w:pStyle w:val="6"/>
        <w:bidi w:val="0"/>
        <w:rPr>
          <w:rFonts w:hint="default" w:ascii="Times New Roman" w:hAnsi="Times New Roman" w:eastAsia="宋体" w:cs="Times New Roman"/>
          <w:lang w:val="en-US" w:eastAsia="zh-CN"/>
        </w:rPr>
      </w:pPr>
      <w:bookmarkStart w:id="89" w:name="_Toc21786"/>
      <w:bookmarkStart w:id="90" w:name="_Toc23157"/>
      <w:r>
        <w:rPr>
          <w:rFonts w:hint="default" w:ascii="Times New Roman" w:hAnsi="Times New Roman" w:eastAsia="宋体" w:cs="Times New Roman"/>
          <w:lang w:val="en-US" w:eastAsia="zh-CN"/>
        </w:rPr>
        <w:t>5.</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2 采样</w:t>
      </w:r>
      <w:bookmarkEnd w:id="89"/>
      <w:bookmarkEnd w:id="90"/>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lang w:val="en-US" w:eastAsia="zh-CN"/>
        </w:rPr>
        <w:t>采集样品时用不锈钢制采样铲，每采完一个样品随时清理</w:t>
      </w:r>
      <w:r>
        <w:rPr>
          <w:rFonts w:hint="eastAsia" w:cs="Times New Roman"/>
          <w:lang w:val="en-US" w:eastAsia="zh-CN"/>
        </w:rPr>
        <w:t>。</w:t>
      </w:r>
      <w:r>
        <w:rPr>
          <w:rFonts w:hint="default" w:ascii="Times New Roman" w:hAnsi="Times New Roman" w:eastAsia="宋体" w:cs="Times New Roman"/>
          <w:color w:val="auto"/>
          <w:sz w:val="24"/>
          <w:szCs w:val="24"/>
        </w:rPr>
        <w:t>测定VOCs的土壤样品要求用采样器采集4~5</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g原状土迅速放入含甲醇保护剂的40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ml棕色玻璃瓶内；测定SVOCs</w:t>
      </w:r>
      <w:r>
        <w:rPr>
          <w:rFonts w:hint="eastAsia" w:eastAsia="宋体" w:cs="Times New Roman"/>
          <w:color w:val="auto"/>
          <w:sz w:val="24"/>
          <w:szCs w:val="24"/>
          <w:lang w:eastAsia="zh-CN"/>
        </w:rPr>
        <w:t>和重金属</w:t>
      </w:r>
      <w:r>
        <w:rPr>
          <w:rFonts w:hint="default" w:ascii="Times New Roman" w:hAnsi="Times New Roman" w:eastAsia="宋体" w:cs="Times New Roman"/>
          <w:color w:val="auto"/>
          <w:sz w:val="24"/>
          <w:szCs w:val="24"/>
        </w:rPr>
        <w:t>的土壤样品均采集在250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ml的棕色玻璃瓶中，要求装满、压实，尽量使得瓶内不留空隙，土壤样品与瓶口形成切面。土样采集后，要立即对采样瓶进行编号，编号内容包括监测点位编号、采样深度和采样日期。</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snapToGrid w:val="0"/>
                <w:kern w:val="0"/>
                <w:sz w:val="24"/>
                <w:szCs w:val="28"/>
                <w:lang w:eastAsia="zh-CN"/>
              </w:rPr>
              <w:drawing>
                <wp:inline distT="0" distB="0" distL="114300" distR="114300">
                  <wp:extent cx="2543810" cy="1908175"/>
                  <wp:effectExtent l="0" t="0" r="8890" b="15875"/>
                  <wp:docPr id="26" name="图片 32" descr="IMG_20180404_08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IMG_20180404_083228"/>
                          <pic:cNvPicPr>
                            <a:picLocks noChangeAspect="1"/>
                          </pic:cNvPicPr>
                        </pic:nvPicPr>
                        <pic:blipFill>
                          <a:blip r:embed="rId56"/>
                          <a:stretch>
                            <a:fillRect/>
                          </a:stretch>
                        </pic:blipFill>
                        <pic:spPr>
                          <a:xfrm>
                            <a:off x="0" y="0"/>
                            <a:ext cx="2543810" cy="1908175"/>
                          </a:xfrm>
                          <a:prstGeom prst="rect">
                            <a:avLst/>
                          </a:prstGeom>
                          <a:noFill/>
                          <a:ln>
                            <a:noFill/>
                          </a:ln>
                        </pic:spPr>
                      </pic:pic>
                    </a:graphicData>
                  </a:graphic>
                </wp:inline>
              </w:drawing>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snapToGrid w:val="0"/>
                <w:kern w:val="0"/>
                <w:sz w:val="28"/>
                <w:szCs w:val="28"/>
                <w:lang w:eastAsia="zh-CN"/>
              </w:rPr>
              <w:drawing>
                <wp:inline distT="0" distB="0" distL="114300" distR="114300">
                  <wp:extent cx="2544445" cy="1908175"/>
                  <wp:effectExtent l="0" t="0" r="8255" b="15875"/>
                  <wp:docPr id="29" name="图片 33" descr="IMG_20180404_08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0180404_083259"/>
                          <pic:cNvPicPr>
                            <a:picLocks noChangeAspect="1"/>
                          </pic:cNvPicPr>
                        </pic:nvPicPr>
                        <pic:blipFill>
                          <a:blip r:embed="rId57"/>
                          <a:stretch>
                            <a:fillRect/>
                          </a:stretch>
                        </pic:blipFill>
                        <pic:spPr>
                          <a:xfrm>
                            <a:off x="0" y="0"/>
                            <a:ext cx="2544445" cy="1908175"/>
                          </a:xfrm>
                          <a:prstGeom prst="rect">
                            <a:avLst/>
                          </a:prstGeom>
                          <a:noFill/>
                          <a:ln>
                            <a:noFill/>
                          </a:ln>
                        </pic:spPr>
                      </pic:pic>
                    </a:graphicData>
                  </a:graphic>
                </wp:inline>
              </w:drawing>
            </w:r>
          </w:p>
        </w:tc>
      </w:tr>
    </w:tbl>
    <w:p>
      <w:pPr>
        <w:pStyle w:val="6"/>
        <w:bidi w:val="0"/>
        <w:ind w:left="0" w:leftChars="0" w:firstLine="0" w:firstLineChars="0"/>
        <w:rPr>
          <w:rFonts w:hint="default" w:ascii="Times New Roman" w:hAnsi="Times New Roman" w:eastAsia="宋体" w:cs="Times New Roman"/>
          <w:lang w:val="en-US" w:eastAsia="zh-CN"/>
        </w:rPr>
      </w:pPr>
      <w:bookmarkStart w:id="91" w:name="_Toc27954"/>
      <w:bookmarkStart w:id="92" w:name="_Toc24788"/>
      <w:r>
        <w:rPr>
          <w:rFonts w:hint="default" w:ascii="Times New Roman" w:hAnsi="Times New Roman" w:eastAsia="宋体" w:cs="Times New Roman"/>
          <w:lang w:val="en-US" w:eastAsia="zh-CN"/>
        </w:rPr>
        <w:t>5.</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3 保存</w:t>
      </w:r>
      <w:bookmarkEnd w:id="91"/>
      <w:bookmarkEnd w:id="92"/>
    </w:p>
    <w:p>
      <w:pPr>
        <w:pStyle w:val="2"/>
        <w:pageBreakBefore w:val="0"/>
        <w:kinsoku/>
        <w:wordWrap/>
        <w:overflowPunct/>
        <w:topLinePunct w:val="0"/>
        <w:autoSpaceDE/>
        <w:autoSpaceDN/>
        <w:bidi w:val="0"/>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土壤装样过程中，尽量减少土壤样品在空气中的暴露时间，且尽量将容器装满（空气量控制在最低水平）。所有样品送到样品箱中低温存放，为保证现场温度不会对样品产生影响，先将蓝冰提前冷冻24小时放置在保存箱内，以保证保温箱内样品的温度在4 ℃以下，并尽快送往实验室进行分析。取样结束后回填钻孔，并插上醒目标志物，以示该点样品采集工作完毕。</w:t>
      </w:r>
      <w:r>
        <w:rPr>
          <w:rFonts w:hint="default" w:ascii="Times New Roman" w:hAnsi="Times New Roman" w:eastAsia="宋体" w:cs="Times New Roman"/>
          <w:color w:val="auto"/>
          <w:sz w:val="24"/>
          <w:szCs w:val="24"/>
        </w:rPr>
        <w:t>土壤样品保存方式见表</w:t>
      </w:r>
      <w:r>
        <w:rPr>
          <w:rFonts w:hint="eastAsia" w:ascii="Times New Roman" w:hAnsi="Times New Roman" w:eastAsia="宋体" w:cs="Times New Roman"/>
          <w:color w:val="auto"/>
          <w:sz w:val="24"/>
          <w:szCs w:val="24"/>
          <w:lang w:val="en-US" w:eastAsia="zh-CN"/>
        </w:rPr>
        <w:t>5.1-1。</w:t>
      </w:r>
    </w:p>
    <w:p>
      <w:pPr>
        <w:pStyle w:val="2"/>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5.1-1</w:t>
      </w:r>
      <w:r>
        <w:rPr>
          <w:rFonts w:hint="default" w:ascii="Times New Roman" w:hAnsi="Times New Roman" w:eastAsia="宋体" w:cs="Times New Roman"/>
          <w:b/>
          <w:color w:val="auto"/>
          <w:sz w:val="24"/>
          <w:szCs w:val="24"/>
        </w:rPr>
        <w:t xml:space="preserve">  土壤样品的保存方式及注意事项</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2"/>
        <w:gridCol w:w="1394"/>
        <w:gridCol w:w="1295"/>
        <w:gridCol w:w="3709"/>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检测因子</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容器</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注意事项</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1</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eastAsia="宋体" w:cs="Times New Roman"/>
                <w:szCs w:val="21"/>
              </w:rPr>
              <w:t>砷、镉、铅、镍、铜</w:t>
            </w:r>
            <w:r>
              <w:rPr>
                <w:rFonts w:hint="default" w:ascii="Times New Roman" w:hAnsi="Times New Roman" w:eastAsia="宋体" w:cs="Times New Roman"/>
                <w:szCs w:val="21"/>
                <w:lang w:eastAsia="zh-CN"/>
              </w:rPr>
              <w:t>、锌</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250ml广口玻璃瓶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采集均质样品，填满瓶子消除顶空</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保温箱4℃以下6个月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2</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eastAsia="宋体" w:cs="Times New Roman"/>
                <w:bCs/>
                <w:szCs w:val="21"/>
              </w:rPr>
              <w:t>汞</w:t>
            </w:r>
            <w:r>
              <w:rPr>
                <w:rFonts w:hint="default" w:ascii="Times New Roman" w:hAnsi="Times New Roman" w:eastAsia="宋体" w:cs="Times New Roman"/>
                <w:bCs/>
                <w:szCs w:val="21"/>
                <w:lang w:eastAsia="zh-CN"/>
              </w:rPr>
              <w:t>、</w:t>
            </w:r>
            <w:r>
              <w:rPr>
                <w:rFonts w:hint="default" w:ascii="Times New Roman" w:hAnsi="Times New Roman" w:eastAsia="宋体" w:cs="Times New Roman"/>
                <w:szCs w:val="21"/>
              </w:rPr>
              <w:t>六价铬</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250ml广口玻璃瓶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采集均质样品，填满瓶子消除顶空</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保温箱4℃以下28天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eastAsia="宋体" w:cs="Times New Roman"/>
                <w:bCs/>
                <w:szCs w:val="21"/>
                <w:lang w:val="en-US" w:eastAsia="zh-CN"/>
              </w:rPr>
              <w:t>3</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SVOCs</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250ml广口玻璃瓶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取样前刮去表层约1cm的土层，然后装满瓶子，与瓶口形成切面，不留空气。填装过程要快，减少暴露时间。</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保温箱4℃以下10天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eastAsia="宋体" w:cs="Times New Roman"/>
                <w:bCs/>
                <w:szCs w:val="21"/>
                <w:lang w:val="en-US" w:eastAsia="zh-CN"/>
              </w:rPr>
              <w:t>4</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VOCs</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40ml棕色玻璃瓶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用采样器采集4-5cm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土柱装入有甲醇保护剂的40ml棕色玻璃瓶中</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保温箱4℃以下7天</w:t>
            </w:r>
          </w:p>
        </w:tc>
      </w:tr>
    </w:tbl>
    <w:p>
      <w:pPr>
        <w:pageBreakBefore w:val="0"/>
        <w:kinsoku/>
        <w:wordWrap/>
        <w:overflowPunct/>
        <w:topLinePunct w:val="0"/>
        <w:autoSpaceDE/>
        <w:autoSpaceDN/>
        <w:bidi w:val="0"/>
        <w:spacing w:line="360" w:lineRule="auto"/>
        <w:ind w:left="0" w:leftChars="0" w:firstLine="0" w:firstLineChars="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注：表中注意事项参照《重点行业企业用地调查样品采集保存和流转技术规定》；保存时间参考《土壤环境监测技术规范》（HJ/T166-2004)。</w:t>
      </w:r>
    </w:p>
    <w:p>
      <w:pPr>
        <w:pStyle w:val="5"/>
        <w:bidi w:val="0"/>
        <w:ind w:left="0" w:leftChars="0" w:firstLine="0" w:firstLineChars="0"/>
        <w:rPr>
          <w:rFonts w:hint="default" w:ascii="Times New Roman" w:hAnsi="Times New Roman" w:eastAsia="宋体" w:cs="Times New Roman"/>
          <w:lang w:val="en-US" w:eastAsia="zh-CN"/>
        </w:rPr>
      </w:pPr>
      <w:bookmarkStart w:id="93" w:name="_Toc12541"/>
      <w:bookmarkStart w:id="94" w:name="_Toc18240"/>
      <w:r>
        <w:rPr>
          <w:rFonts w:hint="eastAsia" w:ascii="Times New Roman" w:hAnsi="Times New Roman" w:eastAsia="宋体" w:cs="Times New Roman"/>
          <w:lang w:val="en-US" w:eastAsia="zh-CN"/>
        </w:rPr>
        <w:t xml:space="preserve">5.2 </w:t>
      </w:r>
      <w:r>
        <w:rPr>
          <w:rFonts w:hint="default" w:ascii="Times New Roman" w:hAnsi="Times New Roman" w:eastAsia="宋体" w:cs="Times New Roman"/>
          <w:lang w:val="en-US" w:eastAsia="zh-CN"/>
        </w:rPr>
        <w:t>地下水样品采集</w:t>
      </w:r>
      <w:bookmarkEnd w:id="93"/>
      <w:bookmarkEnd w:id="94"/>
    </w:p>
    <w:p>
      <w:pPr>
        <w:pStyle w:val="6"/>
        <w:bidi w:val="0"/>
        <w:ind w:left="0" w:leftChars="0" w:firstLine="0" w:firstLineChars="0"/>
        <w:rPr>
          <w:rFonts w:hint="default" w:ascii="Times New Roman" w:hAnsi="Times New Roman" w:eastAsia="宋体" w:cs="Times New Roman"/>
          <w:lang w:val="en-US" w:eastAsia="zh-CN"/>
        </w:rPr>
      </w:pPr>
      <w:bookmarkStart w:id="95" w:name="_Toc28501"/>
      <w:bookmarkStart w:id="96" w:name="_Toc25677"/>
      <w:r>
        <w:rPr>
          <w:rFonts w:hint="eastAsia" w:ascii="Times New Roman" w:hAnsi="Times New Roman" w:eastAsia="宋体" w:cs="Times New Roman"/>
          <w:lang w:val="en-US" w:eastAsia="zh-CN"/>
        </w:rPr>
        <w:t>5.2.1</w:t>
      </w:r>
      <w:r>
        <w:rPr>
          <w:rFonts w:hint="default" w:ascii="Times New Roman" w:hAnsi="Times New Roman" w:eastAsia="宋体" w:cs="Times New Roman"/>
          <w:lang w:val="en-US" w:eastAsia="zh-CN"/>
        </w:rPr>
        <w:t>浅层水井的建立与洗井</w:t>
      </w:r>
      <w:bookmarkEnd w:id="95"/>
      <w:bookmarkEnd w:id="96"/>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依据《地下水环境监测技术规范》（HJ/T164-2004）的相关要求，建立地下水监测井的方法为：</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A.</w:t>
      </w:r>
      <w:r>
        <w:rPr>
          <w:rFonts w:hint="default" w:ascii="Times New Roman" w:hAnsi="Times New Roman" w:eastAsia="宋体" w:cs="Times New Roman"/>
          <w:color w:val="auto"/>
          <w:kern w:val="0"/>
          <w:sz w:val="24"/>
        </w:rPr>
        <w:t>同钻探取样一致，首先采用钻机进行钻孔，在钻探过程中注意观察土柱的湿度变化，确定钻探到浅层水以后，需要继续钻进，使井的深度比井壁筛管的深度略深一些。</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B.</w:t>
      </w:r>
      <w:r>
        <w:rPr>
          <w:rFonts w:hint="default" w:ascii="Times New Roman" w:hAnsi="Times New Roman" w:eastAsia="宋体" w:cs="Times New Roman"/>
          <w:color w:val="auto"/>
          <w:kern w:val="0"/>
          <w:sz w:val="24"/>
        </w:rPr>
        <w:t>钻孔完成后，小心的将钻条取出，避免井周围的土壤塌陷。</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C.</w:t>
      </w:r>
      <w:r>
        <w:rPr>
          <w:rFonts w:hint="default" w:ascii="Times New Roman" w:hAnsi="Times New Roman" w:eastAsia="宋体" w:cs="Times New Roman"/>
          <w:color w:val="auto"/>
          <w:kern w:val="0"/>
          <w:sz w:val="24"/>
        </w:rPr>
        <w:t>将PVC管、接头、堵头、纱网组装或捆绑好后放至井底，之后逐次往井壁周围填充石英砂—膨润土，填充的石英砂要求超出筛管以上，使浅层水只能通过石英砂过滤后流入监测井内，防治泥土堵塞井壁筛管，膨润土用于阻隔地面水进入地下，以防污染地下水。监测井的具体结构见图</w:t>
      </w:r>
      <w:r>
        <w:rPr>
          <w:rFonts w:hint="eastAsia" w:ascii="Times New Roman" w:hAnsi="Times New Roman" w:eastAsia="宋体" w:cs="Times New Roman"/>
          <w:color w:val="auto"/>
          <w:kern w:val="0"/>
          <w:sz w:val="24"/>
          <w:lang w:val="en-US" w:eastAsia="zh-CN"/>
        </w:rPr>
        <w:t>5.2-1</w:t>
      </w:r>
      <w:r>
        <w:rPr>
          <w:rFonts w:hint="default" w:ascii="Times New Roman" w:hAnsi="Times New Roman" w:eastAsia="宋体" w:cs="Times New Roman"/>
          <w:color w:val="auto"/>
          <w:kern w:val="0"/>
          <w:sz w:val="24"/>
        </w:rPr>
        <w:t>。</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kern w:val="0"/>
          <w:sz w:val="24"/>
          <w:lang w:val="en-US" w:eastAsia="zh-CN"/>
        </w:rPr>
        <w:t>D.</w:t>
      </w:r>
      <w:r>
        <w:rPr>
          <w:rFonts w:hint="default" w:ascii="Times New Roman" w:hAnsi="Times New Roman" w:eastAsia="宋体" w:cs="Times New Roman"/>
          <w:color w:val="auto"/>
          <w:kern w:val="0"/>
          <w:sz w:val="24"/>
        </w:rPr>
        <w:t>建井完成待水位稳定后测定地下水水位埋深，之后选用贝勒管进行洗井，待水质变清后，封闭井口，停留24h后进行取样，采集水样要满足《地下水环境监测技术规范》（HJ/T164-2004）的相关要求。</w:t>
      </w:r>
    </w:p>
    <w:p>
      <w:pPr>
        <w:pStyle w:val="24"/>
        <w:pageBreakBefore w:val="0"/>
        <w:kinsoku/>
        <w:wordWrap/>
        <w:overflowPunct/>
        <w:topLinePunct w:val="0"/>
        <w:bidi w:val="0"/>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mc:AlternateContent>
          <mc:Choice Requires="wpg">
            <w:drawing>
              <wp:anchor distT="0" distB="0" distL="114300" distR="114300" simplePos="0" relativeHeight="523611136" behindDoc="0" locked="0" layoutInCell="1" allowOverlap="1">
                <wp:simplePos x="0" y="0"/>
                <wp:positionH relativeFrom="column">
                  <wp:posOffset>1722755</wp:posOffset>
                </wp:positionH>
                <wp:positionV relativeFrom="paragraph">
                  <wp:posOffset>53340</wp:posOffset>
                </wp:positionV>
                <wp:extent cx="2501265" cy="3837940"/>
                <wp:effectExtent l="0" t="0" r="0" b="0"/>
                <wp:wrapNone/>
                <wp:docPr id="166" name="组合 166"/>
                <wp:cNvGraphicFramePr/>
                <a:graphic xmlns:a="http://schemas.openxmlformats.org/drawingml/2006/main">
                  <a:graphicData uri="http://schemas.microsoft.com/office/word/2010/wordprocessingGroup">
                    <wpg:wgp>
                      <wpg:cNvGrpSpPr/>
                      <wpg:grpSpPr>
                        <a:xfrm>
                          <a:off x="0" y="0"/>
                          <a:ext cx="2501265" cy="3837940"/>
                          <a:chOff x="5511" y="757470"/>
                          <a:chExt cx="2560" cy="7004"/>
                        </a:xfrm>
                      </wpg:grpSpPr>
                      <wps:wsp>
                        <wps:cNvPr id="31" name="矩形 31"/>
                        <wps:cNvSpPr/>
                        <wps:spPr>
                          <a:xfrm>
                            <a:off x="5871" y="757857"/>
                            <a:ext cx="425" cy="6245"/>
                          </a:xfrm>
                          <a:prstGeom prst="rect">
                            <a:avLst/>
                          </a:prstGeom>
                          <a:noFill/>
                          <a:ln w="19050" cap="flat" cmpd="sng">
                            <a:solidFill>
                              <a:srgbClr val="000000"/>
                            </a:solidFill>
                            <a:prstDash val="solid"/>
                            <a:miter/>
                            <a:headEnd type="none" w="med" len="med"/>
                            <a:tailEnd type="none" w="med" len="med"/>
                          </a:ln>
                        </wps:spPr>
                        <wps:bodyPr upright="1"/>
                      </wps:wsp>
                      <wps:wsp>
                        <wps:cNvPr id="32" name="椭圆 32"/>
                        <wps:cNvSpPr/>
                        <wps:spPr>
                          <a:xfrm>
                            <a:off x="5927" y="761519"/>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34" name="椭圆 34"/>
                        <wps:cNvSpPr/>
                        <wps:spPr>
                          <a:xfrm>
                            <a:off x="6149" y="761508"/>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98" name="椭圆 98"/>
                        <wps:cNvSpPr/>
                        <wps:spPr>
                          <a:xfrm>
                            <a:off x="5925" y="761781"/>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99" name="椭圆 99"/>
                        <wps:cNvSpPr/>
                        <wps:spPr>
                          <a:xfrm>
                            <a:off x="6146" y="761788"/>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03" name="椭圆 103"/>
                        <wps:cNvSpPr/>
                        <wps:spPr>
                          <a:xfrm>
                            <a:off x="6145" y="762045"/>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07" name="椭圆 107"/>
                        <wps:cNvSpPr/>
                        <wps:spPr>
                          <a:xfrm>
                            <a:off x="5926" y="762044"/>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08" name="椭圆 108"/>
                        <wps:cNvSpPr/>
                        <wps:spPr>
                          <a:xfrm>
                            <a:off x="6050" y="761651"/>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09" name="椭圆 109"/>
                        <wps:cNvSpPr/>
                        <wps:spPr>
                          <a:xfrm>
                            <a:off x="6034" y="761917"/>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10" name="椭圆 110"/>
                        <wps:cNvSpPr/>
                        <wps:spPr>
                          <a:xfrm>
                            <a:off x="5914" y="761268"/>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11" name="椭圆 111"/>
                        <wps:cNvSpPr/>
                        <wps:spPr>
                          <a:xfrm>
                            <a:off x="6037" y="761400"/>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13" name="文本框 113"/>
                        <wps:cNvSpPr txBox="1"/>
                        <wps:spPr>
                          <a:xfrm>
                            <a:off x="6297" y="759950"/>
                            <a:ext cx="210" cy="4159"/>
                          </a:xfrm>
                          <a:prstGeom prst="rect">
                            <a:avLst/>
                          </a:prstGeom>
                          <a:pattFill prst="sphere">
                            <a:fgClr>
                              <a:srgbClr val="0000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114" name="文本框 114"/>
                        <wps:cNvSpPr txBox="1"/>
                        <wps:spPr>
                          <a:xfrm>
                            <a:off x="5661" y="759968"/>
                            <a:ext cx="210" cy="4139"/>
                          </a:xfrm>
                          <a:prstGeom prst="rect">
                            <a:avLst/>
                          </a:prstGeom>
                          <a:pattFill prst="sphere">
                            <a:fgClr>
                              <a:srgbClr val="0000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115" name="文本框 115"/>
                        <wps:cNvSpPr txBox="1"/>
                        <wps:spPr>
                          <a:xfrm>
                            <a:off x="6295" y="758124"/>
                            <a:ext cx="210" cy="1839"/>
                          </a:xfrm>
                          <a:prstGeom prst="rect">
                            <a:avLst/>
                          </a:prstGeom>
                          <a:pattFill prst="lgConfetti">
                            <a:fgClr>
                              <a:srgbClr val="FF99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116" name="文本框 116"/>
                        <wps:cNvSpPr txBox="1"/>
                        <wps:spPr>
                          <a:xfrm>
                            <a:off x="5660" y="758134"/>
                            <a:ext cx="210" cy="1831"/>
                          </a:xfrm>
                          <a:prstGeom prst="rect">
                            <a:avLst/>
                          </a:prstGeom>
                          <a:pattFill prst="lgConfetti">
                            <a:fgClr>
                              <a:srgbClr val="FF99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117" name="椭圆 117"/>
                        <wps:cNvSpPr/>
                        <wps:spPr>
                          <a:xfrm>
                            <a:off x="5924" y="761015"/>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18" name="椭圆 118"/>
                        <wps:cNvSpPr/>
                        <wps:spPr>
                          <a:xfrm>
                            <a:off x="6136" y="761003"/>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20" name="椭圆 120"/>
                        <wps:cNvSpPr/>
                        <wps:spPr>
                          <a:xfrm>
                            <a:off x="6035" y="761151"/>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24" name="椭圆 124"/>
                        <wps:cNvSpPr/>
                        <wps:spPr>
                          <a:xfrm>
                            <a:off x="6150" y="761262"/>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26" name="椭圆 126"/>
                        <wps:cNvSpPr/>
                        <wps:spPr>
                          <a:xfrm>
                            <a:off x="6033" y="760890"/>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30" name="椭圆 130"/>
                        <wps:cNvSpPr/>
                        <wps:spPr>
                          <a:xfrm>
                            <a:off x="6128" y="760751"/>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33" name="椭圆 133"/>
                        <wps:cNvSpPr/>
                        <wps:spPr>
                          <a:xfrm>
                            <a:off x="5919" y="760739"/>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34" name="椭圆 134"/>
                        <wps:cNvSpPr/>
                        <wps:spPr>
                          <a:xfrm>
                            <a:off x="6143" y="760475"/>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35" name="椭圆 135"/>
                        <wps:cNvSpPr/>
                        <wps:spPr>
                          <a:xfrm>
                            <a:off x="6020" y="760602"/>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36" name="椭圆 136"/>
                        <wps:cNvSpPr/>
                        <wps:spPr>
                          <a:xfrm>
                            <a:off x="5906" y="760464"/>
                            <a:ext cx="85" cy="85"/>
                          </a:xfrm>
                          <a:prstGeom prst="ellipse">
                            <a:avLst/>
                          </a:prstGeom>
                          <a:solidFill>
                            <a:srgbClr val="FFFFFF"/>
                          </a:solidFill>
                          <a:ln w="6350" cap="flat" cmpd="sng">
                            <a:solidFill>
                              <a:srgbClr val="000000"/>
                            </a:solidFill>
                            <a:prstDash val="solid"/>
                            <a:round/>
                            <a:headEnd type="none" w="med" len="med"/>
                            <a:tailEnd type="none" w="med" len="med"/>
                          </a:ln>
                        </wps:spPr>
                        <wps:bodyPr upright="1"/>
                      </wps:wsp>
                      <wps:wsp>
                        <wps:cNvPr id="137" name="文本框 137"/>
                        <wps:cNvSpPr txBox="1"/>
                        <wps:spPr>
                          <a:xfrm rot="-5400000">
                            <a:off x="6663" y="758784"/>
                            <a:ext cx="318" cy="721"/>
                          </a:xfrm>
                          <a:prstGeom prst="rect">
                            <a:avLst/>
                          </a:prstGeom>
                          <a:noFill/>
                          <a:ln>
                            <a:noFill/>
                          </a:ln>
                        </wps:spPr>
                        <wps:txbx>
                          <w:txbxContent>
                            <w:p>
                              <w:pPr>
                                <w:spacing w:line="240" w:lineRule="auto"/>
                                <w:rPr>
                                  <w:rFonts w:hint="eastAsia"/>
                                </w:rPr>
                              </w:pPr>
                              <w:r>
                                <w:rPr>
                                  <w:rFonts w:hint="eastAsia"/>
                                </w:rPr>
                                <w:t>膨润土</w:t>
                              </w:r>
                            </w:p>
                          </w:txbxContent>
                        </wps:txbx>
                        <wps:bodyPr lIns="0" tIns="0" rIns="0" bIns="0" upright="1"/>
                      </wps:wsp>
                      <wps:wsp>
                        <wps:cNvPr id="138" name="文本框 138"/>
                        <wps:cNvSpPr txBox="1"/>
                        <wps:spPr>
                          <a:xfrm rot="-5400000">
                            <a:off x="6654" y="762231"/>
                            <a:ext cx="318" cy="721"/>
                          </a:xfrm>
                          <a:prstGeom prst="rect">
                            <a:avLst/>
                          </a:prstGeom>
                          <a:noFill/>
                          <a:ln>
                            <a:noFill/>
                          </a:ln>
                        </wps:spPr>
                        <wps:txbx>
                          <w:txbxContent>
                            <w:p>
                              <w:pPr>
                                <w:spacing w:line="240" w:lineRule="auto"/>
                                <w:rPr>
                                  <w:rFonts w:hint="eastAsia"/>
                                </w:rPr>
                              </w:pPr>
                              <w:r>
                                <w:rPr>
                                  <w:rFonts w:hint="eastAsia"/>
                                </w:rPr>
                                <w:t>石英砂</w:t>
                              </w:r>
                            </w:p>
                          </w:txbxContent>
                        </wps:txbx>
                        <wps:bodyPr lIns="0" tIns="0" rIns="0" bIns="0" upright="1"/>
                      </wps:wsp>
                      <wps:wsp>
                        <wps:cNvPr id="139" name="直接箭头连接符 139"/>
                        <wps:cNvCnPr/>
                        <wps:spPr>
                          <a:xfrm flipV="1">
                            <a:off x="6094" y="764105"/>
                            <a:ext cx="1" cy="227"/>
                          </a:xfrm>
                          <a:prstGeom prst="straightConnector1">
                            <a:avLst/>
                          </a:prstGeom>
                          <a:ln w="9525" cap="flat" cmpd="sng">
                            <a:solidFill>
                              <a:srgbClr val="000000"/>
                            </a:solidFill>
                            <a:prstDash val="solid"/>
                            <a:round/>
                            <a:headEnd type="none" w="med" len="med"/>
                            <a:tailEnd type="arrow" w="med" len="med"/>
                          </a:ln>
                        </wps:spPr>
                        <wps:bodyPr/>
                      </wps:wsp>
                      <wps:wsp>
                        <wps:cNvPr id="141" name="直接连接符 141"/>
                        <wps:cNvSpPr/>
                        <wps:spPr>
                          <a:xfrm>
                            <a:off x="6095" y="764335"/>
                            <a:ext cx="678" cy="1"/>
                          </a:xfrm>
                          <a:prstGeom prst="line">
                            <a:avLst/>
                          </a:prstGeom>
                          <a:ln w="9525" cap="flat" cmpd="sng">
                            <a:solidFill>
                              <a:srgbClr val="000000"/>
                            </a:solidFill>
                            <a:prstDash val="solid"/>
                            <a:round/>
                            <a:headEnd type="none" w="med" len="med"/>
                            <a:tailEnd type="none" w="med" len="med"/>
                          </a:ln>
                        </wps:spPr>
                        <wps:bodyPr upright="1"/>
                      </wps:wsp>
                      <wps:wsp>
                        <wps:cNvPr id="142" name="文本框 142"/>
                        <wps:cNvSpPr txBox="1"/>
                        <wps:spPr>
                          <a:xfrm rot="-5400000">
                            <a:off x="7291" y="763694"/>
                            <a:ext cx="318" cy="1242"/>
                          </a:xfrm>
                          <a:prstGeom prst="rect">
                            <a:avLst/>
                          </a:prstGeom>
                          <a:noFill/>
                          <a:ln>
                            <a:noFill/>
                          </a:ln>
                        </wps:spPr>
                        <wps:txbx>
                          <w:txbxContent>
                            <w:p>
                              <w:pPr>
                                <w:spacing w:line="240" w:lineRule="auto"/>
                                <w:rPr>
                                  <w:rFonts w:hint="eastAsia"/>
                                </w:rPr>
                              </w:pPr>
                              <w:r>
                                <w:rPr>
                                  <w:rFonts w:hint="eastAsia"/>
                                </w:rPr>
                                <w:t>加盖封闭</w:t>
                              </w:r>
                            </w:p>
                          </w:txbxContent>
                        </wps:txbx>
                        <wps:bodyPr lIns="0" tIns="0" rIns="0" bIns="0" upright="1"/>
                      </wps:wsp>
                      <wps:wsp>
                        <wps:cNvPr id="143" name="直接箭头连接符 143"/>
                        <wps:cNvCnPr/>
                        <wps:spPr>
                          <a:xfrm rot="-10800000" flipV="1">
                            <a:off x="6064" y="757620"/>
                            <a:ext cx="1" cy="227"/>
                          </a:xfrm>
                          <a:prstGeom prst="straightConnector1">
                            <a:avLst/>
                          </a:prstGeom>
                          <a:ln w="9525" cap="flat" cmpd="sng">
                            <a:solidFill>
                              <a:srgbClr val="000000"/>
                            </a:solidFill>
                            <a:prstDash val="solid"/>
                            <a:round/>
                            <a:headEnd type="none" w="med" len="med"/>
                            <a:tailEnd type="arrow" w="med" len="med"/>
                          </a:ln>
                        </wps:spPr>
                        <wps:bodyPr/>
                      </wps:wsp>
                      <wps:wsp>
                        <wps:cNvPr id="144" name="直接连接符 144"/>
                        <wps:cNvSpPr/>
                        <wps:spPr>
                          <a:xfrm rot="10800000">
                            <a:off x="6060" y="757622"/>
                            <a:ext cx="643" cy="1"/>
                          </a:xfrm>
                          <a:prstGeom prst="line">
                            <a:avLst/>
                          </a:prstGeom>
                          <a:ln w="9525" cap="flat" cmpd="sng">
                            <a:solidFill>
                              <a:srgbClr val="000000"/>
                            </a:solidFill>
                            <a:prstDash val="solid"/>
                            <a:round/>
                            <a:headEnd type="none" w="med" len="med"/>
                            <a:tailEnd type="none" w="med" len="med"/>
                          </a:ln>
                        </wps:spPr>
                        <wps:bodyPr upright="1"/>
                      </wps:wsp>
                      <wps:wsp>
                        <wps:cNvPr id="145" name="文本框 145"/>
                        <wps:cNvSpPr txBox="1"/>
                        <wps:spPr>
                          <a:xfrm rot="-5400000">
                            <a:off x="7143" y="756980"/>
                            <a:ext cx="319" cy="1239"/>
                          </a:xfrm>
                          <a:prstGeom prst="rect">
                            <a:avLst/>
                          </a:prstGeom>
                          <a:noFill/>
                          <a:ln>
                            <a:noFill/>
                          </a:ln>
                        </wps:spPr>
                        <wps:txbx>
                          <w:txbxContent>
                            <w:p>
                              <w:pPr>
                                <w:spacing w:line="240" w:lineRule="auto"/>
                                <w:rPr>
                                  <w:rFonts w:hint="eastAsia"/>
                                </w:rPr>
                              </w:pPr>
                              <w:r>
                                <w:rPr>
                                  <w:rFonts w:hint="eastAsia"/>
                                </w:rPr>
                                <w:t>加盖封闭</w:t>
                              </w:r>
                            </w:p>
                          </w:txbxContent>
                        </wps:txbx>
                        <wps:bodyPr lIns="0" tIns="0" rIns="0" bIns="0" upright="1"/>
                      </wps:wsp>
                      <wps:wsp>
                        <wps:cNvPr id="146" name="文本框 146"/>
                        <wps:cNvSpPr txBox="1"/>
                        <wps:spPr>
                          <a:xfrm>
                            <a:off x="5886" y="760148"/>
                            <a:ext cx="388" cy="2471"/>
                          </a:xfrm>
                          <a:prstGeom prst="rect">
                            <a:avLst/>
                          </a:prstGeom>
                          <a:pattFill prst="cross">
                            <a:fgClr>
                              <a:srgbClr val="00FF00">
                                <a:alpha val="56998"/>
                              </a:srgbClr>
                            </a:fgClr>
                            <a:bgClr>
                              <a:srgbClr val="FFFFFF">
                                <a:alpha val="56998"/>
                              </a:srgbClr>
                            </a:bgClr>
                          </a:pattFill>
                          <a:ln>
                            <a:noFill/>
                          </a:ln>
                        </wps:spPr>
                        <wps:txbx>
                          <w:txbxContent>
                            <w:p/>
                          </w:txbxContent>
                        </wps:txbx>
                        <wps:bodyPr lIns="91439" tIns="45719" rIns="91439" bIns="45719" upright="1"/>
                      </wps:wsp>
                      <wps:wsp>
                        <wps:cNvPr id="147" name="直接箭头连接符 147"/>
                        <wps:cNvCnPr/>
                        <wps:spPr>
                          <a:xfrm flipH="1" flipV="1">
                            <a:off x="6205" y="762004"/>
                            <a:ext cx="567" cy="1"/>
                          </a:xfrm>
                          <a:prstGeom prst="straightConnector1">
                            <a:avLst/>
                          </a:prstGeom>
                          <a:ln w="9525" cap="flat" cmpd="sng">
                            <a:solidFill>
                              <a:srgbClr val="000000"/>
                            </a:solidFill>
                            <a:prstDash val="solid"/>
                            <a:round/>
                            <a:headEnd type="none" w="med" len="med"/>
                            <a:tailEnd type="arrow" w="med" len="med"/>
                          </a:ln>
                        </wps:spPr>
                        <wps:bodyPr/>
                      </wps:wsp>
                      <wps:wsp>
                        <wps:cNvPr id="148" name="文本框 148"/>
                        <wps:cNvSpPr txBox="1"/>
                        <wps:spPr>
                          <a:xfrm rot="-5400000">
                            <a:off x="7149" y="761267"/>
                            <a:ext cx="318" cy="1261"/>
                          </a:xfrm>
                          <a:prstGeom prst="rect">
                            <a:avLst/>
                          </a:prstGeom>
                          <a:noFill/>
                          <a:ln>
                            <a:noFill/>
                          </a:ln>
                        </wps:spPr>
                        <wps:txbx>
                          <w:txbxContent>
                            <w:p>
                              <w:pPr>
                                <w:spacing w:line="240" w:lineRule="auto"/>
                                <w:rPr>
                                  <w:rFonts w:hint="eastAsia"/>
                                </w:rPr>
                              </w:pPr>
                              <w:r>
                                <w:rPr>
                                  <w:rFonts w:hint="eastAsia"/>
                                </w:rPr>
                                <w:t>筛管、窗纱</w:t>
                              </w:r>
                            </w:p>
                          </w:txbxContent>
                        </wps:txbx>
                        <wps:bodyPr lIns="0" tIns="0" rIns="0" bIns="0" upright="1"/>
                      </wps:wsp>
                      <wps:wsp>
                        <wps:cNvPr id="149" name="文本框 149"/>
                        <wps:cNvSpPr txBox="1"/>
                        <wps:spPr>
                          <a:xfrm rot="-5400000">
                            <a:off x="6917" y="762969"/>
                            <a:ext cx="318" cy="721"/>
                          </a:xfrm>
                          <a:prstGeom prst="rect">
                            <a:avLst/>
                          </a:prstGeom>
                          <a:noFill/>
                          <a:ln>
                            <a:noFill/>
                          </a:ln>
                        </wps:spPr>
                        <wps:txbx>
                          <w:txbxContent>
                            <w:p>
                              <w:pPr>
                                <w:spacing w:line="240" w:lineRule="auto"/>
                                <w:rPr>
                                  <w:rFonts w:hint="eastAsia"/>
                                </w:rPr>
                              </w:pPr>
                              <w:r>
                                <w:rPr>
                                  <w:rFonts w:hint="eastAsia"/>
                                </w:rPr>
                                <w:t>沉淀管</w:t>
                              </w:r>
                            </w:p>
                          </w:txbxContent>
                        </wps:txbx>
                        <wps:bodyPr lIns="0" tIns="0" rIns="0" bIns="0" upright="1"/>
                      </wps:wsp>
                      <wps:wsp>
                        <wps:cNvPr id="150" name="直接箭头连接符 150"/>
                        <wps:cNvCnPr/>
                        <wps:spPr>
                          <a:xfrm flipH="1" flipV="1">
                            <a:off x="6122" y="763414"/>
                            <a:ext cx="567" cy="1"/>
                          </a:xfrm>
                          <a:prstGeom prst="straightConnector1">
                            <a:avLst/>
                          </a:prstGeom>
                          <a:ln w="9525" cap="flat" cmpd="sng">
                            <a:solidFill>
                              <a:srgbClr val="000000"/>
                            </a:solidFill>
                            <a:prstDash val="solid"/>
                            <a:round/>
                            <a:headEnd type="none" w="med" len="med"/>
                            <a:tailEnd type="arrow" w="med" len="med"/>
                          </a:ln>
                        </wps:spPr>
                        <wps:bodyPr/>
                      </wps:wsp>
                      <wpg:grpSp>
                        <wpg:cNvPr id="155" name="组合 155"/>
                        <wpg:cNvGrpSpPr/>
                        <wpg:grpSpPr>
                          <a:xfrm>
                            <a:off x="5511" y="761137"/>
                            <a:ext cx="345" cy="705"/>
                            <a:chOff x="4928" y="746244"/>
                            <a:chExt cx="345" cy="705"/>
                          </a:xfrm>
                        </wpg:grpSpPr>
                        <wps:wsp>
                          <wps:cNvPr id="151" name="直接连接符 151"/>
                          <wps:cNvSpPr/>
                          <wps:spPr>
                            <a:xfrm>
                              <a:off x="4935" y="746949"/>
                              <a:ext cx="338" cy="1"/>
                            </a:xfrm>
                            <a:prstGeom prst="line">
                              <a:avLst/>
                            </a:prstGeom>
                            <a:ln w="9525" cap="flat" cmpd="sng">
                              <a:solidFill>
                                <a:srgbClr val="00B0F0"/>
                              </a:solidFill>
                              <a:prstDash val="solid"/>
                              <a:miter/>
                              <a:headEnd type="none" w="med" len="med"/>
                              <a:tailEnd type="triangle" w="sm" len="sm"/>
                            </a:ln>
                          </wps:spPr>
                          <wps:bodyPr upright="1"/>
                        </wps:wsp>
                        <wps:wsp>
                          <wps:cNvPr id="152" name="直接连接符 152"/>
                          <wps:cNvSpPr/>
                          <wps:spPr>
                            <a:xfrm>
                              <a:off x="4928" y="746244"/>
                              <a:ext cx="338" cy="1"/>
                            </a:xfrm>
                            <a:prstGeom prst="line">
                              <a:avLst/>
                            </a:prstGeom>
                            <a:ln w="9525" cap="flat" cmpd="sng">
                              <a:solidFill>
                                <a:srgbClr val="00B0F0"/>
                              </a:solidFill>
                              <a:prstDash val="solid"/>
                              <a:miter/>
                              <a:headEnd type="none" w="med" len="med"/>
                              <a:tailEnd type="triangle" w="sm" len="sm"/>
                            </a:ln>
                          </wps:spPr>
                          <wps:bodyPr upright="1"/>
                        </wps:wsp>
                        <wps:wsp>
                          <wps:cNvPr id="153" name="直接连接符 153"/>
                          <wps:cNvSpPr/>
                          <wps:spPr>
                            <a:xfrm>
                              <a:off x="4928" y="746491"/>
                              <a:ext cx="338" cy="1"/>
                            </a:xfrm>
                            <a:prstGeom prst="line">
                              <a:avLst/>
                            </a:prstGeom>
                            <a:ln w="9525" cap="flat" cmpd="sng">
                              <a:solidFill>
                                <a:srgbClr val="00B0F0"/>
                              </a:solidFill>
                              <a:prstDash val="solid"/>
                              <a:miter/>
                              <a:headEnd type="none" w="med" len="med"/>
                              <a:tailEnd type="triangle" w="sm" len="sm"/>
                            </a:ln>
                          </wps:spPr>
                          <wps:bodyPr upright="1"/>
                        </wps:wsp>
                        <wps:wsp>
                          <wps:cNvPr id="154" name="直接连接符 154"/>
                          <wps:cNvSpPr/>
                          <wps:spPr>
                            <a:xfrm>
                              <a:off x="4928" y="746709"/>
                              <a:ext cx="338" cy="1"/>
                            </a:xfrm>
                            <a:prstGeom prst="line">
                              <a:avLst/>
                            </a:prstGeom>
                            <a:ln w="9525" cap="flat" cmpd="sng">
                              <a:solidFill>
                                <a:srgbClr val="00B0F0"/>
                              </a:solidFill>
                              <a:prstDash val="solid"/>
                              <a:miter/>
                              <a:headEnd type="none" w="med" len="med"/>
                              <a:tailEnd type="triangle" w="sm" len="sm"/>
                            </a:ln>
                          </wps:spPr>
                          <wps:bodyPr upright="1"/>
                        </wps:wsp>
                      </wpg:grpSp>
                      <wpg:grpSp>
                        <wpg:cNvPr id="161" name="组合 161"/>
                        <wpg:cNvGrpSpPr/>
                        <wpg:grpSpPr>
                          <a:xfrm rot="10800000">
                            <a:off x="6329" y="761062"/>
                            <a:ext cx="345" cy="705"/>
                            <a:chOff x="4928" y="746244"/>
                            <a:chExt cx="345" cy="705"/>
                          </a:xfrm>
                        </wpg:grpSpPr>
                        <wps:wsp>
                          <wps:cNvPr id="157" name="直接连接符 157"/>
                          <wps:cNvSpPr/>
                          <wps:spPr>
                            <a:xfrm>
                              <a:off x="4935" y="746949"/>
                              <a:ext cx="338" cy="1"/>
                            </a:xfrm>
                            <a:prstGeom prst="line">
                              <a:avLst/>
                            </a:prstGeom>
                            <a:ln w="9525" cap="flat" cmpd="sng">
                              <a:solidFill>
                                <a:srgbClr val="00B0F0"/>
                              </a:solidFill>
                              <a:prstDash val="solid"/>
                              <a:miter/>
                              <a:headEnd type="none" w="med" len="med"/>
                              <a:tailEnd type="triangle" w="sm" len="sm"/>
                            </a:ln>
                          </wps:spPr>
                          <wps:bodyPr upright="1"/>
                        </wps:wsp>
                        <wps:wsp>
                          <wps:cNvPr id="158" name="直接连接符 158"/>
                          <wps:cNvSpPr/>
                          <wps:spPr>
                            <a:xfrm>
                              <a:off x="4928" y="746244"/>
                              <a:ext cx="338" cy="1"/>
                            </a:xfrm>
                            <a:prstGeom prst="line">
                              <a:avLst/>
                            </a:prstGeom>
                            <a:ln w="9525" cap="flat" cmpd="sng">
                              <a:solidFill>
                                <a:srgbClr val="00B0F0"/>
                              </a:solidFill>
                              <a:prstDash val="solid"/>
                              <a:miter/>
                              <a:headEnd type="none" w="med" len="med"/>
                              <a:tailEnd type="triangle" w="sm" len="sm"/>
                            </a:ln>
                          </wps:spPr>
                          <wps:bodyPr upright="1"/>
                        </wps:wsp>
                        <wps:wsp>
                          <wps:cNvPr id="159" name="直接连接符 159"/>
                          <wps:cNvSpPr/>
                          <wps:spPr>
                            <a:xfrm>
                              <a:off x="4928" y="746491"/>
                              <a:ext cx="338" cy="1"/>
                            </a:xfrm>
                            <a:prstGeom prst="line">
                              <a:avLst/>
                            </a:prstGeom>
                            <a:ln w="9525" cap="flat" cmpd="sng">
                              <a:solidFill>
                                <a:srgbClr val="00B0F0"/>
                              </a:solidFill>
                              <a:prstDash val="solid"/>
                              <a:miter/>
                              <a:headEnd type="none" w="med" len="med"/>
                              <a:tailEnd type="triangle" w="sm" len="sm"/>
                            </a:ln>
                          </wps:spPr>
                          <wps:bodyPr upright="1"/>
                        </wps:wsp>
                        <wps:wsp>
                          <wps:cNvPr id="160" name="直接连接符 160"/>
                          <wps:cNvSpPr/>
                          <wps:spPr>
                            <a:xfrm>
                              <a:off x="4928" y="746709"/>
                              <a:ext cx="338" cy="1"/>
                            </a:xfrm>
                            <a:prstGeom prst="line">
                              <a:avLst/>
                            </a:prstGeom>
                            <a:ln w="9525" cap="flat" cmpd="sng">
                              <a:solidFill>
                                <a:srgbClr val="00B0F0"/>
                              </a:solidFill>
                              <a:prstDash val="solid"/>
                              <a:miter/>
                              <a:headEnd type="none" w="med" len="med"/>
                              <a:tailEnd type="triangle" w="sm" len="sm"/>
                            </a:ln>
                          </wps:spPr>
                          <wps:bodyPr upright="1"/>
                        </wps:wsp>
                      </wpg:grpSp>
                      <wps:wsp>
                        <wps:cNvPr id="162" name="直接连接符 162"/>
                        <wps:cNvSpPr/>
                        <wps:spPr>
                          <a:xfrm>
                            <a:off x="5871" y="760672"/>
                            <a:ext cx="428" cy="1"/>
                          </a:xfrm>
                          <a:prstGeom prst="line">
                            <a:avLst/>
                          </a:prstGeom>
                          <a:ln w="31750" cap="flat" cmpd="sng">
                            <a:solidFill>
                              <a:srgbClr val="00B0F0"/>
                            </a:solidFill>
                            <a:prstDash val="solid"/>
                            <a:miter/>
                            <a:headEnd type="none" w="med" len="med"/>
                            <a:tailEnd type="none" w="med" len="med"/>
                          </a:ln>
                        </wps:spPr>
                        <wps:bodyPr upright="1"/>
                      </wps:wsp>
                      <wps:wsp>
                        <wps:cNvPr id="163" name="直接箭头连接符 163"/>
                        <wps:cNvCnPr/>
                        <wps:spPr>
                          <a:xfrm flipH="1" flipV="1">
                            <a:off x="6280" y="760677"/>
                            <a:ext cx="567" cy="1"/>
                          </a:xfrm>
                          <a:prstGeom prst="straightConnector1">
                            <a:avLst/>
                          </a:prstGeom>
                          <a:ln w="9525" cap="flat" cmpd="sng">
                            <a:solidFill>
                              <a:srgbClr val="000000"/>
                            </a:solidFill>
                            <a:prstDash val="solid"/>
                            <a:round/>
                            <a:headEnd type="none" w="med" len="med"/>
                            <a:tailEnd type="arrow" w="med" len="med"/>
                          </a:ln>
                        </wps:spPr>
                        <wps:bodyPr/>
                      </wps:wsp>
                      <wps:wsp>
                        <wps:cNvPr id="164" name="文本框 164"/>
                        <wps:cNvSpPr txBox="1"/>
                        <wps:spPr>
                          <a:xfrm rot="-5400000">
                            <a:off x="7082" y="760132"/>
                            <a:ext cx="318" cy="923"/>
                          </a:xfrm>
                          <a:prstGeom prst="rect">
                            <a:avLst/>
                          </a:prstGeom>
                          <a:noFill/>
                          <a:ln>
                            <a:noFill/>
                          </a:ln>
                        </wps:spPr>
                        <wps:txbx>
                          <w:txbxContent>
                            <w:p>
                              <w:pPr>
                                <w:spacing w:line="240" w:lineRule="auto"/>
                                <w:rPr>
                                  <w:rFonts w:hint="eastAsia"/>
                                </w:rPr>
                              </w:pPr>
                              <w:r>
                                <w:rPr>
                                  <w:rFonts w:hint="eastAsia"/>
                                </w:rPr>
                                <w:t>稳定水位</w:t>
                              </w:r>
                            </w:p>
                          </w:txbxContent>
                        </wps:txbx>
                        <wps:bodyPr lIns="0" tIns="0" rIns="0" bIns="0" upright="1"/>
                      </wps:wsp>
                      <wps:wsp>
                        <wps:cNvPr id="165" name="文本框 165"/>
                        <wps:cNvSpPr txBox="1"/>
                        <wps:spPr>
                          <a:xfrm>
                            <a:off x="5872" y="760699"/>
                            <a:ext cx="429" cy="3418"/>
                          </a:xfrm>
                          <a:prstGeom prst="rect">
                            <a:avLst/>
                          </a:prstGeom>
                          <a:solidFill>
                            <a:srgbClr val="00B0F0">
                              <a:alpha val="29999"/>
                            </a:srgbClr>
                          </a:solidFill>
                          <a:ln w="15875">
                            <a:noFill/>
                          </a:ln>
                        </wps:spPr>
                        <wps:txbx>
                          <w:txbxContent>
                            <w:p/>
                          </w:txbxContent>
                        </wps:txbx>
                        <wps:bodyPr upright="1"/>
                      </wps:wsp>
                    </wpg:wgp>
                  </a:graphicData>
                </a:graphic>
              </wp:anchor>
            </w:drawing>
          </mc:Choice>
          <mc:Fallback>
            <w:pict>
              <v:group id="_x0000_s1026" o:spid="_x0000_s1026" o:spt="203" style="position:absolute;left:0pt;margin-left:135.65pt;margin-top:4.2pt;height:302.2pt;width:196.95pt;z-index:523611136;mso-width-relative:page;mso-height-relative:page;" coordorigin="5511,757470" coordsize="2560,7004" o:gfxdata="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DPUxhU2AAAAAkBAAAPAAAAAAAAAAEAIAAAACIAAABkcnMvZG93bnJldi54bWxQSwEC&#10;FAAUAAAACACHTuJAK5N5GaMKAAB1cQAADgAAAAAAAAABACAAAAAnAQAAZHJzL2Uyb0RvYy54bWxQ&#10;SwUGAAAAAAYABgBZAQAAPA4AAAAA&#10;">
                <o:lock v:ext="edit" aspectratio="f"/>
                <v:rect id="_x0000_s1026" o:spid="_x0000_s1026" o:spt="1" style="position:absolute;left:5871;top:757857;height:6245;width:425;" filled="f" stroked="t" coordsize="21600,21600" o:gfxdata="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nHg2/&#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rect>
                <v:shape id="_x0000_s1026" o:spid="_x0000_s1026" o:spt="3" type="#_x0000_t3" style="position:absolute;left:5927;top:761519;height:85;width:85;" fillcolor="#FFFFFF" filled="t" stroked="t" coordsize="21600,21600" o:gfxdata="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4g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49;top:761508;height:85;width:85;" fillcolor="#FFFFFF" filled="t" stroked="t" coordsize="21600,21600" o:gfxdata="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3p9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5925;top:761781;height:85;width:85;" fillcolor="#FFFFFF" filled="t" stroked="t" coordsize="21600,21600" o:gfxdata="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9/m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146;top:761788;height:85;width:85;" fillcolor="#FFFFFF" filled="t" stroked="t" coordsize="21600,21600" o:gfxdata="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QZ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45;top:762045;height:85;width:85;" fillcolor="#FFFFFF" filled="t" stroked="t" coordsize="21600,21600" o:gfxdata="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eQK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5926;top:762044;height:85;width:85;" fillcolor="#FFFFFF" filled="t" stroked="t" coordsize="21600,21600" o:gfxdata="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KnB4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6050;top:761651;height:85;width:85;" fillcolor="#FFFFFF" filled="t" stroked="t" coordsize="21600,21600" o:gfxdata="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Xj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034;top:761917;height:85;width:85;" fillcolor="#FFFFFF" filled="t" stroked="t" coordsize="21600,21600" o:gfxdata="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35mS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_x0000_s1026" o:spid="_x0000_s1026" o:spt="3" type="#_x0000_t3" style="position:absolute;left:5914;top:761268;height:85;width:85;" fillcolor="#FFFFFF" filled="t" stroked="t" coordsize="21600,21600" o:gfxdata="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7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037;top:761400;height:85;width:85;" fillcolor="#FFFFFF" filled="t" stroked="t" coordsize="21600,21600" o:gfxdata="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ndi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_x0000_s1026" o:spid="_x0000_s1026" o:spt="202" type="#_x0000_t202" style="position:absolute;left:6297;top:759950;height:4159;width:210;" fillcolor="#000000" filled="t" stroked="t" coordsize="21600,21600" o:gfxdata="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kDOvQAA&#10;ANwAAAAPAAAAAAAAAAEAIAAAACIAAABkcnMvZG93bnJldi54bWxQSwECFAAUAAAACACHTuJAMy8F&#10;njsAAAA5AAAAEAAAAAAAAAABACAAAAAMAQAAZHJzL3NoYXBleG1sLnhtbFBLBQYAAAAABgAGAFsB&#10;AAC2AwAAAAA=&#10;">
                  <v:fill type="pattern" on="t" color2="#FFFFFF" focussize="0,0" r:id="rId58"/>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202" type="#_x0000_t202" style="position:absolute;left:5661;top:759968;height:4139;width:210;" fillcolor="#000000" filled="t" stroked="t" coordsize="21600,21600" o:gfxdata="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Yur4A&#10;AADcAAAADwAAAAAAAAABACAAAAAiAAAAZHJzL2Rvd25yZXYueG1sUEsBAhQAFAAAAAgAh07iQDMv&#10;BZ47AAAAOQAAABAAAAAAAAAAAQAgAAAADQEAAGRycy9zaGFwZXhtbC54bWxQSwUGAAAAAAYABgBb&#10;AQAAtwMAAAAA&#10;">
                  <v:fill type="pattern" on="t" color2="#FFFFFF" focussize="0,0" r:id="rId58"/>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202" type="#_x0000_t202" style="position:absolute;left:6295;top:758124;height:1839;width:210;" fillcolor="#FF9900" filled="t" stroked="t" coordsize="21600,21600" o:gfxdata="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oMOvQAA&#10;ANwAAAAPAAAAAAAAAAEAIAAAACIAAABkcnMvZG93bnJldi54bWxQSwECFAAUAAAACACHTuJAMy8F&#10;njsAAAA5AAAAEAAAAAAAAAABACAAAAAMAQAAZHJzL3NoYXBleG1sLnhtbFBLBQYAAAAABgAGAFsB&#10;AAC2AwAAAAA=&#10;">
                  <v:fill type="pattern" on="t" color2="#FFFFFF" focussize="0,0" r:id="rId59"/>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202" type="#_x0000_t202" style="position:absolute;left:5660;top:758134;height:1831;width:210;" fillcolor="#FF9900" filled="t" stroked="t" coordsize="21600,21600" o:gfxdata="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B15vQAA&#10;ANwAAAAPAAAAAAAAAAEAIAAAACIAAABkcnMvZG93bnJldi54bWxQSwECFAAUAAAACACHTuJAMy8F&#10;njsAAAA5AAAAEAAAAAAAAAABACAAAAAMAQAAZHJzL3NoYXBleG1sLnhtbFBLBQYAAAAABgAGAFsB&#10;AAC2AwAAAAA=&#10;">
                  <v:fill type="pattern" on="t" color2="#FFFFFF" focussize="0,0" r:id="rId59"/>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3" type="#_x0000_t3" style="position:absolute;left:5924;top:761015;height:85;width:85;" fillcolor="#FFFFFF" filled="t" stroked="t" coordsize="21600,21600" o:gfxdata="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4Q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136;top:761003;height:85;width:85;" fillcolor="#FFFFFF" filled="t" stroked="t" coordsize="21600,21600" o:gfxdata="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6mK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_x0000_s1026" o:spid="_x0000_s1026" o:spt="3" type="#_x0000_t3" style="position:absolute;left:6035;top:761151;height:85;width:85;" fillcolor="#FFFFFF" filled="t" stroked="t" coordsize="21600,21600" o:gfxdata="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NT/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50;top:761262;height:85;width:85;" fillcolor="#FFFFFF" filled="t" stroked="t" coordsize="21600,21600" o:gfxdata="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ucLm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_x0000_s1026" o:spid="_x0000_s1026" o:spt="3" type="#_x0000_t3" style="position:absolute;left:6033;top:760890;height:85;width:85;" fillcolor="#FFFFFF" filled="t" stroked="t" coordsize="21600,21600" o:gfxdata="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i1S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28;top:760751;height:85;width:85;" fillcolor="#FFFFFF" filled="t" stroked="t" coordsize="21600,21600" o:gfxdata="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wS1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5919;top:760739;height:85;width:85;" fillcolor="#FFFFFF" filled="t" stroked="t" coordsize="21600,21600" o:gfxdata="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87s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43;top:760475;height:85;width:85;" fillcolor="#FFFFFF" filled="t" stroked="t" coordsize="21600,21600" o:gfxdata="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a6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020;top:760602;height:85;width:85;" fillcolor="#FFFFFF" filled="t" stroked="t" coordsize="21600,21600" o:gfxdata="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dMh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5906;top:760464;height:85;width:85;" fillcolor="#FFFFFF" filled="t" stroked="t" coordsize="21600,21600" o:gfxdata="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LTV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202" type="#_x0000_t202" style="position:absolute;left:6663;top:758784;height:721;width:318;rotation:-5898240f;" filled="f" stroked="f" coordsize="21600,21600" o:gfxdata="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Mf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rPr>
                            <w:rFonts w:hint="eastAsia"/>
                          </w:rPr>
                        </w:pPr>
                        <w:r>
                          <w:rPr>
                            <w:rFonts w:hint="eastAsia"/>
                          </w:rPr>
                          <w:t>膨润土</w:t>
                        </w:r>
                      </w:p>
                    </w:txbxContent>
                  </v:textbox>
                </v:shape>
                <v:shape id="_x0000_s1026" o:spid="_x0000_s1026" o:spt="202" type="#_x0000_t202" style="position:absolute;left:6654;top:762231;height:721;width:318;rotation:-5898240f;" filled="f" stroked="f" coordsize="21600,21600" o:gfxdata="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T6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auto"/>
                          <w:rPr>
                            <w:rFonts w:hint="eastAsia"/>
                          </w:rPr>
                        </w:pPr>
                        <w:r>
                          <w:rPr>
                            <w:rFonts w:hint="eastAsia"/>
                          </w:rPr>
                          <w:t>石英砂</w:t>
                        </w:r>
                      </w:p>
                    </w:txbxContent>
                  </v:textbox>
                </v:shape>
                <v:shape id="_x0000_s1026" o:spid="_x0000_s1026" o:spt="32" type="#_x0000_t32" style="position:absolute;left:6094;top:764105;flip:y;height:227;width:1;" filled="f" stroked="t" coordsize="21600,21600" o:gfxdata="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boA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line id="_x0000_s1026" o:spid="_x0000_s1026" o:spt="20" style="position:absolute;left:6095;top:764335;height:1;width:678;" filled="f" stroked="t" coordsize="21600,21600" o:gfxdata="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Mq6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7291;top:763694;height:1242;width:318;rotation:-5898240f;" filled="f" stroked="f" coordsize="21600,21600" o:gfxdata="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Yvr&#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auto"/>
                          <w:rPr>
                            <w:rFonts w:hint="eastAsia"/>
                          </w:rPr>
                        </w:pPr>
                        <w:r>
                          <w:rPr>
                            <w:rFonts w:hint="eastAsia"/>
                          </w:rPr>
                          <w:t>加盖封闭</w:t>
                        </w:r>
                      </w:p>
                    </w:txbxContent>
                  </v:textbox>
                </v:shape>
                <v:shape id="_x0000_s1026" o:spid="_x0000_s1026" o:spt="32" type="#_x0000_t32" style="position:absolute;left:6064;top:757620;flip:y;height:227;width:1;rotation:11796480f;" filled="f" stroked="t" coordsize="21600,21600" o:gfxdata="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Iyl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line id="_x0000_s1026" o:spid="_x0000_s1026" o:spt="20" style="position:absolute;left:6060;top:757622;height:1;width:643;rotation:11796480f;" filled="f" stroked="t" coordsize="21600,21600" o:gfxdata="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x0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7143;top:756980;height:1239;width:319;rotation:-5898240f;" filled="f" stroked="f" coordsize="21600,21600" o:gfxdata="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Io&#10;c8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40" w:lineRule="auto"/>
                          <w:rPr>
                            <w:rFonts w:hint="eastAsia"/>
                          </w:rPr>
                        </w:pPr>
                        <w:r>
                          <w:rPr>
                            <w:rFonts w:hint="eastAsia"/>
                          </w:rPr>
                          <w:t>加盖封闭</w:t>
                        </w:r>
                      </w:p>
                    </w:txbxContent>
                  </v:textbox>
                </v:shape>
                <v:shape id="_x0000_s1026" o:spid="_x0000_s1026" o:spt="202" type="#_x0000_t202" style="position:absolute;left:5886;top:760148;height:2471;width:388;" fillcolor="#00FF00" filled="t" stroked="f" coordsize="21600,21600" o:gfxdata="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otfL4A&#10;AADcAAAADwAAAAAAAAABACAAAAAiAAAAZHJzL2Rvd25yZXYueG1sUEsBAhQAFAAAAAgAh07iQDMv&#10;BZ47AAAAOQAAABAAAAAAAAAAAQAgAAAADQEAAGRycy9zaGFwZXhtbC54bWxQSwUGAAAAAAYABgBb&#10;AQAAtwMAAAAA&#10;">
                  <v:fill type="pattern" on="t" color2="#FFFFFF" opacity="37354f" o:opacity2="37354f" focussize="0,0" r:id="rId60"/>
                  <v:stroke on="f"/>
                  <v:imagedata o:title=""/>
                  <o:lock v:ext="edit" aspectratio="f"/>
                  <v:textbox inset="7.19992125984252pt,3.59992125984252pt,7.19992125984252pt,3.59992125984252pt">
                    <w:txbxContent>
                      <w:p/>
                    </w:txbxContent>
                  </v:textbox>
                </v:shape>
                <v:shape id="_x0000_s1026" o:spid="_x0000_s1026" o:spt="32" type="#_x0000_t32" style="position:absolute;left:6205;top:762004;flip:x y;height:1;width:567;" filled="f" stroked="t" coordsize="21600,21600" o:gfxdata="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2k8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202" type="#_x0000_t202" style="position:absolute;left:7149;top:761267;height:1261;width:318;rotation:-5898240f;" filled="f" stroked="f" coordsize="21600,21600" o:gfxdata="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t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rPr>
                            <w:rFonts w:hint="eastAsia"/>
                          </w:rPr>
                        </w:pPr>
                        <w:r>
                          <w:rPr>
                            <w:rFonts w:hint="eastAsia"/>
                          </w:rPr>
                          <w:t>筛管、窗纱</w:t>
                        </w:r>
                      </w:p>
                    </w:txbxContent>
                  </v:textbox>
                </v:shape>
                <v:shape id="_x0000_s1026" o:spid="_x0000_s1026" o:spt="202" type="#_x0000_t202" style="position:absolute;left:6917;top:762969;height:721;width:318;rotation:-5898240f;" filled="f" stroked="f" coordsize="21600,21600" o:gfxdata="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auto"/>
                          <w:rPr>
                            <w:rFonts w:hint="eastAsia"/>
                          </w:rPr>
                        </w:pPr>
                        <w:r>
                          <w:rPr>
                            <w:rFonts w:hint="eastAsia"/>
                          </w:rPr>
                          <w:t>沉淀管</w:t>
                        </w:r>
                      </w:p>
                    </w:txbxContent>
                  </v:textbox>
                </v:shape>
                <v:shape id="_x0000_s1026" o:spid="_x0000_s1026" o:spt="32" type="#_x0000_t32" style="position:absolute;left:6122;top:763414;flip:x y;height:1;width:567;" filled="f" stroked="t" coordsize="21600,21600" o:gfxdata="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CMI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5511;top:761137;height:705;width:345;" coordorigin="4928,746244" coordsize="345,705"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line id="_x0000_s1026" o:spid="_x0000_s1026" o:spt="20" style="position:absolute;left:4935;top:746949;height:1;width:338;" filled="f" stroked="t" coordsize="21600,21600" o:gfxdata="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fMLsAAADc&#10;AAAADwAAAAAAAAABACAAAAAiAAAAZHJzL2Rvd25yZXYueG1sUEsBAhQAFAAAAAgAh07iQDMvBZ47&#10;AAAAOQAAABAAAAAAAAAAAQAgAAAACgEAAGRycy9zaGFwZXhtbC54bWxQSwUGAAAAAAYABgBbAQAA&#10;tAMAAAAA&#10;">
                    <v:fill on="f" focussize="0,0"/>
                    <v:stroke color="#00B0F0" joinstyle="miter" endarrow="block" endarrowwidth="narrow" endarrowlength="short"/>
                    <v:imagedata o:title=""/>
                    <o:lock v:ext="edit" aspectratio="f"/>
                  </v:line>
                  <v:line id="_x0000_s1026" o:spid="_x0000_s1026" o:spt="20" style="position:absolute;left:4928;top:746244;height:1;width:338;" filled="f" stroked="t" coordsize="21600,21600" o:gfxdata="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Z3qrvQAA&#10;ANwAAAAPAAAAAAAAAAEAIAAAACIAAABkcnMvZG93bnJldi54bWxQSwECFAAUAAAACACHTuJAMy8F&#10;njsAAAA5AAAAEAAAAAAAAAABACAAAAAMAQAAZHJzL3NoYXBleG1sLnhtbFBLBQYAAAAABgAGAFsB&#10;AAC2AwAAAAA=&#10;">
                    <v:fill on="f" focussize="0,0"/>
                    <v:stroke color="#00B0F0" joinstyle="miter" endarrow="block" endarrowwidth="narrow" endarrowlength="short"/>
                    <v:imagedata o:title=""/>
                    <o:lock v:ext="edit" aspectratio="f"/>
                  </v:line>
                  <v:line id="_x0000_s1026" o:spid="_x0000_s1026" o:spt="20" style="position:absolute;left:4928;top:746491;height:1;width:338;" filled="f" stroked="t" coordsize="21600,21600" o:gfxdata="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Xk3L4A&#10;AADcAAAADwAAAAAAAAABACAAAAAiAAAAZHJzL2Rvd25yZXYueG1sUEsBAhQAFAAAAAgAh07iQDMv&#10;BZ47AAAAOQAAABAAAAAAAAAAAQAgAAAADQEAAGRycy9zaGFwZXhtbC54bWxQSwUGAAAAAAYABgBb&#10;AQAAtwMAAAAA&#10;">
                    <v:fill on="f" focussize="0,0"/>
                    <v:stroke color="#00B0F0" joinstyle="miter" endarrow="block" endarrowwidth="narrow" endarrowlength="short"/>
                    <v:imagedata o:title=""/>
                    <o:lock v:ext="edit" aspectratio="f"/>
                  </v:line>
                  <v:line id="_x0000_s1026" o:spid="_x0000_s1026" o:spt="20" style="position:absolute;left:4928;top:746709;height:1;width:338;" filled="f" stroked="t" coordsize="21600,21600" o:gfxdata="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FHvQAA&#10;ANwAAAAPAAAAAAAAAAEAIAAAACIAAABkcnMvZG93bnJldi54bWxQSwECFAAUAAAACACHTuJAMy8F&#10;njsAAAA5AAAAEAAAAAAAAAABACAAAAAMAQAAZHJzL3NoYXBleG1sLnhtbFBLBQYAAAAABgAGAFsB&#10;AAC2AwAAAAA=&#10;">
                    <v:fill on="f" focussize="0,0"/>
                    <v:stroke color="#00B0F0" joinstyle="miter" endarrow="block" endarrowwidth="narrow" endarrowlength="short"/>
                    <v:imagedata o:title=""/>
                    <o:lock v:ext="edit" aspectratio="f"/>
                  </v:line>
                </v:group>
                <v:group id="_x0000_s1026" o:spid="_x0000_s1026" o:spt="203" style="position:absolute;left:6329;top:761062;height:705;width:345;rotation:11796480f;" coordorigin="4928,746244" coordsize="345,705" o:gfxdata="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As2mr0AAADcAAAADwAAAAAAAAABACAAAAAiAAAAZHJzL2Rvd25yZXYueG1s&#10;UEsBAhQAFAAAAAgAh07iQDMvBZ47AAAAOQAAABUAAAAAAAAAAQAgAAAADAEAAGRycy9ncm91cHNo&#10;YXBleG1sLnhtbFBLBQYAAAAABgAGAGABAADJAwAAAAA=&#10;">
                  <o:lock v:ext="edit" aspectratio="f"/>
                  <v:line id="_x0000_s1026" o:spid="_x0000_s1026" o:spt="20" style="position:absolute;left:4935;top:746949;height:1;width:338;" filled="f" stroked="t" coordsize="21600,21600" o:gfxdata="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cfKi8AAAA&#10;3AAAAA8AAAAAAAAAAQAgAAAAIgAAAGRycy9kb3ducmV2LnhtbFBLAQIUABQAAAAIAIdO4kAzLwWe&#10;OwAAADkAAAAQAAAAAAAAAAEAIAAAAAsBAABkcnMvc2hhcGV4bWwueG1sUEsFBgAAAAAGAAYAWwEA&#10;ALUDAAAAAA==&#10;">
                    <v:fill on="f" focussize="0,0"/>
                    <v:stroke color="#00B0F0" joinstyle="miter" endarrow="block" endarrowwidth="narrow" endarrowlength="short"/>
                    <v:imagedata o:title=""/>
                    <o:lock v:ext="edit" aspectratio="f"/>
                  </v:line>
                  <v:line id="_x0000_s1026" o:spid="_x0000_s1026" o:spt="20" style="position:absolute;left:4928;top:746244;height:1;width:338;" filled="f" stroked="t" coordsize="21600,21600" o:gfxdata="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O4t+8AAAA&#10;3AAAAA8AAAAAAAAAAQAgAAAAIgAAAGRycy9kb3ducmV2LnhtbFBLAQIUABQAAAAIAIdO4kAzLwWe&#10;OwAAADkAAAAQAAAAAAAAAAEAIAAAAAsBAABkcnMvc2hhcGV4bWwueG1sUEsFBgAAAAAGAAYAWwEA&#10;ALUDAAAAAA==&#10;">
                    <v:fill on="f" focussize="0,0"/>
                    <v:stroke color="#00B0F0" joinstyle="miter" endarrow="block" endarrowwidth="narrow" endarrowlength="short"/>
                    <v:imagedata o:title=""/>
                    <o:lock v:ext="edit" aspectratio="f"/>
                  </v:line>
                  <v:line id="_x0000_s1026" o:spid="_x0000_s1026" o:spt="20" style="position:absolute;left:4928;top:746491;height:1;width:338;" filled="f" stroked="t" coordsize="21600,21600" o:gfxdata="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CR0S8AAAA&#10;3AAAAA8AAAAAAAAAAQAgAAAAIgAAAGRycy9kb3ducmV2LnhtbFBLAQIUABQAAAAIAIdO4kAzLwWe&#10;OwAAADkAAAAQAAAAAAAAAAEAIAAAAAsBAABkcnMvc2hhcGV4bWwueG1sUEsFBgAAAAAGAAYAWwEA&#10;ALUDAAAAAA==&#10;">
                    <v:fill on="f" focussize="0,0"/>
                    <v:stroke color="#00B0F0" joinstyle="miter" endarrow="block" endarrowwidth="narrow" endarrowlength="short"/>
                    <v:imagedata o:title=""/>
                    <o:lock v:ext="edit" aspectratio="f"/>
                  </v:line>
                  <v:line id="_x0000_s1026" o:spid="_x0000_s1026" o:spt="20" style="position:absolute;left:4928;top:746709;height:1;width:338;" filled="f" stroked="t" coordsize="21600,21600" o:gfxdata="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3TNrsAAADc&#10;AAAADwAAAAAAAAABACAAAAAiAAAAZHJzL2Rvd25yZXYueG1sUEsBAhQAFAAAAAgAh07iQDMvBZ47&#10;AAAAOQAAABAAAAAAAAAAAQAgAAAACgEAAGRycy9zaGFwZXhtbC54bWxQSwUGAAAAAAYABgBbAQAA&#10;tAMAAAAA&#10;">
                    <v:fill on="f" focussize="0,0"/>
                    <v:stroke color="#00B0F0" joinstyle="miter" endarrow="block" endarrowwidth="narrow" endarrowlength="short"/>
                    <v:imagedata o:title=""/>
                    <o:lock v:ext="edit" aspectratio="f"/>
                  </v:line>
                </v:group>
                <v:line id="_x0000_s1026" o:spid="_x0000_s1026" o:spt="20" style="position:absolute;left:5871;top:760672;height:1;width:428;" filled="f" stroked="t" coordsize="21600,21600" o:gfxdata="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6piu8AAAA&#10;3AAAAA8AAAAAAAAAAQAgAAAAIgAAAGRycy9kb3ducmV2LnhtbFBLAQIUABQAAAAIAIdO4kAzLwWe&#10;OwAAADkAAAAQAAAAAAAAAAEAIAAAAAsBAABkcnMvc2hhcGV4bWwueG1sUEsFBgAAAAAGAAYAWwEA&#10;ALUDAAAAAA==&#10;">
                  <v:fill on="f" focussize="0,0"/>
                  <v:stroke weight="2.5pt" color="#00B0F0" joinstyle="miter"/>
                  <v:imagedata o:title=""/>
                  <o:lock v:ext="edit" aspectratio="f"/>
                </v:line>
                <v:shape id="_x0000_s1026" o:spid="_x0000_s1026" o:spt="32" type="#_x0000_t32" style="position:absolute;left:6280;top:760677;flip:x y;height:1;width:567;" filled="f" stroked="t" coordsize="21600,21600" o:gfxdata="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69kn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_x0000_s1026" o:spid="_x0000_s1026" o:spt="202" type="#_x0000_t202" style="position:absolute;left:7082;top:760132;height:923;width:318;rotation:-5898240f;" filled="f" stroked="f" coordsize="21600,21600" o:gfxdata="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jw&#10;PM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40" w:lineRule="auto"/>
                          <w:rPr>
                            <w:rFonts w:hint="eastAsia"/>
                          </w:rPr>
                        </w:pPr>
                        <w:r>
                          <w:rPr>
                            <w:rFonts w:hint="eastAsia"/>
                          </w:rPr>
                          <w:t>稳定水位</w:t>
                        </w:r>
                      </w:p>
                    </w:txbxContent>
                  </v:textbox>
                </v:shape>
                <v:shape id="_x0000_s1026" o:spid="_x0000_s1026" o:spt="202" type="#_x0000_t202" style="position:absolute;left:5872;top:760699;height:3418;width:429;" fillcolor="#00B0F0" filled="t" stroked="f" coordsize="21600,21600" o:gfxdata="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Hbsv&#10;wAAAANwAAAAPAAAAAAAAAAEAIAAAACIAAABkcnMvZG93bnJldi54bWxQSwECFAAUAAAACACHTuJA&#10;My8FnjsAAAA5AAAAEAAAAAAAAAABACAAAAAPAQAAZHJzL3NoYXBleG1sLnhtbFBLBQYAAAAABgAG&#10;AFsBAAC5AwAAAAA=&#10;">
                  <v:fill on="t" opacity="19660f" focussize="0,0"/>
                  <v:stroke on="f" weight="1.25pt"/>
                  <v:imagedata o:title=""/>
                  <o:lock v:ext="edit" aspectratio="f"/>
                  <v:textbox>
                    <w:txbxContent>
                      <w:p/>
                    </w:txbxContent>
                  </v:textbox>
                </v:shape>
              </v:group>
            </w:pict>
          </mc:Fallback>
        </mc:AlternateContent>
      </w: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4"/>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5"/>
        <w:pageBreakBefore w:val="0"/>
        <w:kinsoku/>
        <w:wordWrap/>
        <w:overflowPunct/>
        <w:topLinePunct w:val="0"/>
        <w:bidi w:val="0"/>
        <w:spacing w:before="0" w:beforeLines="0" w:line="360" w:lineRule="auto"/>
        <w:jc w:val="center"/>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kern w:val="0"/>
        </w:rPr>
        <w:t>图</w:t>
      </w:r>
      <w:r>
        <w:rPr>
          <w:rFonts w:hint="eastAsia" w:cs="Times New Roman"/>
          <w:color w:val="auto"/>
          <w:kern w:val="0"/>
          <w:lang w:val="en-US" w:eastAsia="zh-CN"/>
        </w:rPr>
        <w:t>5.2-1</w:t>
      </w:r>
      <w:r>
        <w:rPr>
          <w:rFonts w:hint="default" w:ascii="Times New Roman" w:hAnsi="Times New Roman" w:eastAsia="宋体" w:cs="Times New Roman"/>
          <w:color w:val="auto"/>
          <w:kern w:val="0"/>
        </w:rPr>
        <w:t xml:space="preserve">  地下水监测井结构示意图</w:t>
      </w:r>
    </w:p>
    <w:p>
      <w:pPr>
        <w:pStyle w:val="6"/>
        <w:bidi w:val="0"/>
        <w:ind w:left="0" w:leftChars="0" w:firstLine="0" w:firstLineChars="0"/>
        <w:rPr>
          <w:rFonts w:hint="default" w:ascii="Times New Roman" w:hAnsi="Times New Roman" w:eastAsia="宋体" w:cs="Times New Roman"/>
          <w:lang w:val="en-US" w:eastAsia="zh-CN"/>
        </w:rPr>
      </w:pPr>
      <w:bookmarkStart w:id="97" w:name="_Toc19797"/>
      <w:bookmarkStart w:id="98" w:name="_Toc9573"/>
      <w:r>
        <w:rPr>
          <w:rFonts w:hint="eastAsia" w:ascii="Times New Roman" w:hAnsi="Times New Roman" w:eastAsia="宋体" w:cs="Times New Roman"/>
          <w:lang w:val="en-US" w:eastAsia="zh-CN"/>
        </w:rPr>
        <w:t>5.2.2</w:t>
      </w:r>
      <w:r>
        <w:rPr>
          <w:rFonts w:hint="default" w:ascii="Times New Roman" w:hAnsi="Times New Roman" w:eastAsia="宋体" w:cs="Times New Roman"/>
          <w:lang w:val="en-US" w:eastAsia="zh-CN"/>
        </w:rPr>
        <w:t>采样</w:t>
      </w:r>
      <w:bookmarkEnd w:id="97"/>
      <w:bookmarkEnd w:id="98"/>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kern w:val="0"/>
          <w:sz w:val="24"/>
        </w:rPr>
        <w:t>采集地下水样品时，采用便携式设备现场测定地下水水温、pH值、电导率和氧化还原电位等。然后利用专门采样泵（贝勒管）进行采样。按照采样规范采集的样品，地下水样品采用瞬时采样法，尽量轻扰动水体。样品采集后，在保温箱冷藏保存送实验室分析。</w:t>
      </w:r>
      <w:bookmarkEnd w:id="82"/>
      <w:bookmarkStart w:id="99" w:name="_Toc140"/>
      <w:r>
        <w:rPr>
          <w:rFonts w:hint="default" w:ascii="Times New Roman" w:hAnsi="Times New Roman" w:eastAsia="宋体" w:cs="Times New Roman"/>
          <w:lang w:val="en-US" w:eastAsia="zh-CN"/>
        </w:rPr>
        <w:br w:type="page"/>
      </w:r>
    </w:p>
    <w:p>
      <w:pPr>
        <w:pStyle w:val="4"/>
        <w:bidi w:val="0"/>
        <w:ind w:left="0" w:leftChars="0" w:firstLine="0" w:firstLineChars="0"/>
        <w:rPr>
          <w:rFonts w:hint="default" w:ascii="Times New Roman" w:hAnsi="Times New Roman" w:eastAsia="宋体" w:cs="Times New Roman"/>
          <w:sz w:val="30"/>
          <w:szCs w:val="30"/>
          <w:lang w:val="en-US" w:eastAsia="zh-CN"/>
        </w:rPr>
      </w:pPr>
      <w:bookmarkStart w:id="100" w:name="_Toc13879"/>
      <w:bookmarkStart w:id="101" w:name="_Toc15827"/>
      <w:r>
        <w:rPr>
          <w:rFonts w:hint="default" w:ascii="Times New Roman" w:hAnsi="Times New Roman" w:eastAsia="宋体" w:cs="Times New Roman"/>
          <w:sz w:val="30"/>
          <w:szCs w:val="30"/>
          <w:lang w:val="en-US" w:eastAsia="zh-CN"/>
        </w:rPr>
        <w:t>6 质量保证和质量控制</w:t>
      </w:r>
      <w:bookmarkEnd w:id="100"/>
      <w:bookmarkEnd w:id="101"/>
    </w:p>
    <w:p>
      <w:pPr>
        <w:pStyle w:val="5"/>
        <w:bidi w:val="0"/>
        <w:ind w:left="0" w:leftChars="0" w:firstLine="0" w:firstLineChars="0"/>
        <w:rPr>
          <w:rFonts w:hint="default" w:ascii="Times New Roman" w:hAnsi="Times New Roman" w:eastAsia="宋体" w:cs="Times New Roman"/>
          <w:sz w:val="28"/>
          <w:szCs w:val="28"/>
          <w:lang w:val="en-US" w:eastAsia="zh-CN"/>
        </w:rPr>
      </w:pPr>
      <w:bookmarkStart w:id="102" w:name="_Toc26584"/>
      <w:bookmarkStart w:id="103" w:name="_Toc13338"/>
      <w:r>
        <w:rPr>
          <w:rFonts w:hint="default" w:ascii="Times New Roman" w:hAnsi="Times New Roman" w:eastAsia="宋体" w:cs="Times New Roman"/>
          <w:sz w:val="28"/>
          <w:szCs w:val="28"/>
          <w:lang w:val="en-US" w:eastAsia="zh-CN"/>
        </w:rPr>
        <w:t>6.1 监测方法及仪器</w:t>
      </w:r>
      <w:bookmarkEnd w:id="102"/>
      <w:bookmarkEnd w:id="103"/>
    </w:p>
    <w:p>
      <w:pPr>
        <w:rPr>
          <w:rFonts w:hint="default" w:ascii="Times New Roman" w:hAnsi="Times New Roman" w:eastAsia="宋体" w:cs="Times New Roman"/>
          <w:b/>
          <w:bCs/>
          <w:lang w:val="en-US" w:eastAsia="zh-CN"/>
        </w:rPr>
      </w:pPr>
      <w:r>
        <w:rPr>
          <w:rFonts w:hint="default" w:ascii="Times New Roman" w:hAnsi="Times New Roman" w:eastAsia="宋体" w:cs="Times New Roman"/>
          <w:lang w:val="en-US" w:eastAsia="zh-CN"/>
        </w:rPr>
        <w:t>本项目部分土壤监测因子的检测方法及仪器见6.1-1。</w:t>
      </w:r>
    </w:p>
    <w:p>
      <w:pPr>
        <w:bidi w:val="0"/>
        <w:jc w:val="center"/>
        <w:rPr>
          <w:rFonts w:hint="default" w:ascii="Times New Roman" w:hAnsi="Times New Roman" w:eastAsia="宋体" w:cs="Times New Roman"/>
          <w:b/>
          <w:bCs/>
        </w:rPr>
      </w:pPr>
      <w:r>
        <w:rPr>
          <w:rFonts w:hint="default" w:ascii="Times New Roman" w:hAnsi="Times New Roman" w:eastAsia="宋体" w:cs="Times New Roman"/>
          <w:b/>
          <w:bCs/>
          <w:lang w:val="en-US" w:eastAsia="zh-CN"/>
        </w:rPr>
        <w:t>表6.1-1  监测方法及仪器</w:t>
      </w:r>
    </w:p>
    <w:tbl>
      <w:tblPr>
        <w:tblStyle w:val="15"/>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772"/>
        <w:gridCol w:w="1607"/>
        <w:gridCol w:w="1707"/>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blHeader/>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检测方法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检测仪器</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检出限（mg/kg）</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砷</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双道原子荧光光度计</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原子荧光法</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22105.2-2008 第二部分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镉</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原子吸收分光光度计</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石墨炉原子吸收分光光度法</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铜</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火焰原子吸收分光光度法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原子吸收分光光度计</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17138-1997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原子吸收分光光度计</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石墨炉原子吸收分光光度法</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汞</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双道原子荧光光度计</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原子荧光法</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22105.1-2008 第一部分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镍</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火焰原子吸收分光光度法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原子吸收分光光度计</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17139-1997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六价铬</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碱溶液提取/原子吸收分光光度法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分光光度计</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Q/JSSEP 0003S-2018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SVOCs</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气相色谱-质谱联用法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气相色谱/质谱联用仪</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0.05-0.2</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气相色谱-质谱联用法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气相色谱/质谱联用仪</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0.2-1.9μg/kg</w:t>
            </w:r>
          </w:p>
        </w:tc>
        <w:tc>
          <w:tcPr>
            <w:tcW w:w="22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锌</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火焰原子吸收分光光度法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原子吸收分光光度计</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0.5</w:t>
            </w:r>
          </w:p>
        </w:tc>
        <w:tc>
          <w:tcPr>
            <w:tcW w:w="2219"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GB/T 17138-1997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5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石油烃</w:t>
            </w:r>
          </w:p>
        </w:tc>
        <w:tc>
          <w:tcPr>
            <w:tcW w:w="177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气相色谱法</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气相色谱仪</w:t>
            </w:r>
          </w:p>
        </w:tc>
        <w:tc>
          <w:tcPr>
            <w:tcW w:w="1707"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c>
          <w:tcPr>
            <w:tcW w:w="22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ISO16703:2011</w:t>
            </w:r>
          </w:p>
        </w:tc>
      </w:tr>
    </w:tbl>
    <w:p>
      <w:pPr>
        <w:pStyle w:val="5"/>
        <w:bidi w:val="0"/>
        <w:ind w:left="0" w:leftChars="0" w:firstLine="0" w:firstLineChars="0"/>
        <w:rPr>
          <w:rFonts w:hint="default" w:ascii="Times New Roman" w:hAnsi="Times New Roman" w:eastAsia="宋体" w:cs="Times New Roman"/>
          <w:sz w:val="28"/>
          <w:szCs w:val="28"/>
          <w:lang w:val="en-US" w:eastAsia="zh-CN"/>
        </w:rPr>
      </w:pPr>
      <w:bookmarkStart w:id="104" w:name="_Toc2217"/>
      <w:bookmarkStart w:id="105" w:name="_Toc23168"/>
      <w:r>
        <w:rPr>
          <w:rFonts w:hint="default" w:ascii="Times New Roman" w:hAnsi="Times New Roman" w:eastAsia="宋体" w:cs="Times New Roman"/>
          <w:sz w:val="28"/>
          <w:szCs w:val="28"/>
          <w:lang w:val="en-US" w:eastAsia="zh-CN"/>
        </w:rPr>
        <w:t>6.2 质量控制与质量管理（QA/QC）</w:t>
      </w:r>
      <w:bookmarkEnd w:id="104"/>
      <w:bookmarkEnd w:id="105"/>
    </w:p>
    <w:p>
      <w:pPr>
        <w:adjustRightInd w:val="0"/>
        <w:snapToGrid w:val="0"/>
        <w:spacing w:line="440" w:lineRule="exact"/>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本项目的质量控制和质量管理分样品采样、样品流转和实验室分析的质量控制和质量管理三个部分。</w:t>
      </w:r>
    </w:p>
    <w:p>
      <w:pPr>
        <w:pStyle w:val="6"/>
        <w:bidi w:val="0"/>
        <w:ind w:left="0" w:leftChars="0" w:firstLine="0" w:firstLineChars="0"/>
        <w:rPr>
          <w:rFonts w:hint="default" w:ascii="Times New Roman" w:hAnsi="Times New Roman" w:eastAsia="宋体" w:cs="Times New Roman"/>
          <w:lang w:val="en-US" w:eastAsia="zh-CN"/>
        </w:rPr>
      </w:pPr>
      <w:bookmarkStart w:id="106" w:name="_Toc27844"/>
      <w:bookmarkStart w:id="107" w:name="_Toc13259"/>
      <w:r>
        <w:rPr>
          <w:rFonts w:hint="default" w:ascii="Times New Roman" w:hAnsi="Times New Roman" w:eastAsia="宋体" w:cs="Times New Roman"/>
          <w:lang w:val="en-US" w:eastAsia="zh-CN"/>
        </w:rPr>
        <w:t>6.2.1 采样现场质量控制</w:t>
      </w:r>
      <w:bookmarkEnd w:id="106"/>
      <w:bookmarkEnd w:id="107"/>
    </w:p>
    <w:p>
      <w:pPr>
        <w:bidi w:val="0"/>
        <w:rPr>
          <w:rFonts w:hint="default" w:ascii="Times New Roman" w:hAnsi="Times New Roman" w:eastAsia="宋体" w:cs="Times New Roman"/>
        </w:rPr>
      </w:pPr>
      <w:r>
        <w:rPr>
          <w:rFonts w:hint="default" w:ascii="Times New Roman" w:hAnsi="Times New Roman" w:eastAsia="宋体" w:cs="Times New Roman"/>
        </w:rPr>
        <w:t>（1）采样过程交叉污染控制</w:t>
      </w:r>
    </w:p>
    <w:p>
      <w:pPr>
        <w:bidi w:val="0"/>
        <w:rPr>
          <w:rFonts w:hint="default" w:ascii="Times New Roman" w:hAnsi="Times New Roman" w:eastAsia="宋体" w:cs="Times New Roman"/>
        </w:rPr>
      </w:pPr>
      <w:r>
        <w:rPr>
          <w:rFonts w:hint="default" w:ascii="Times New Roman" w:hAnsi="Times New Roman" w:eastAsia="宋体" w:cs="Times New Roman"/>
        </w:rPr>
        <w:t>为避免采样过程中钻机的交叉污染，对两个钻孔之间钻探设备进了行清洁；同一钻孔不同深度采样时，对钻探设备和取样装置也采取了进行清洗；与土壤接触的其它采样工具，在重复使用时也进行了清洗。现场采样设备和取样装置的清洗方法和程序如下：</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1）</w:t>
      </w:r>
      <w:r>
        <w:rPr>
          <w:rFonts w:hint="default" w:ascii="Times New Roman" w:hAnsi="Times New Roman" w:eastAsia="宋体" w:cs="Times New Roman"/>
        </w:rPr>
        <w:t>用刷子刷去除黏附的污染物；</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用肥皂水等不含磷洗涤剂清洗可见颗粒物和油类物质残余；</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3）</w:t>
      </w:r>
      <w:r>
        <w:rPr>
          <w:rFonts w:hint="default" w:ascii="Times New Roman" w:hAnsi="Times New Roman" w:eastAsia="宋体" w:cs="Times New Roman"/>
        </w:rPr>
        <w:t>用水冲洗去除残余的洗涤剂；</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default" w:ascii="Times New Roman" w:hAnsi="Times New Roman" w:eastAsia="宋体" w:cs="Times New Roman"/>
        </w:rPr>
        <w:t>用去离子水清洗后备用。</w:t>
      </w:r>
    </w:p>
    <w:p>
      <w:pPr>
        <w:bidi w:val="0"/>
        <w:rPr>
          <w:rFonts w:hint="default" w:ascii="Times New Roman" w:hAnsi="Times New Roman" w:eastAsia="宋体" w:cs="Times New Roman"/>
        </w:rPr>
      </w:pPr>
      <w:r>
        <w:rPr>
          <w:rFonts w:hint="default" w:ascii="Times New Roman" w:hAnsi="Times New Roman" w:eastAsia="宋体" w:cs="Times New Roman"/>
        </w:rPr>
        <w:t>另外，根据不同的采样目的，上述清洗方法会有所变化：</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1）</w:t>
      </w:r>
      <w:r>
        <w:rPr>
          <w:rFonts w:hint="default" w:ascii="Times New Roman" w:hAnsi="Times New Roman" w:eastAsia="宋体" w:cs="Times New Roman"/>
        </w:rPr>
        <w:t>采集重金属样品时， 采样工具在用自来水清洗后， 还需用 10%的硝酸冲洗，然后再用自来水和去离子水进行清洗；</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采集有机样品时，采样工具在用去离子水清洗后，还需用色谱级丙酮溶剂进行清洗，再用自来水和去离子水进行清洗；</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3）</w:t>
      </w:r>
      <w:r>
        <w:rPr>
          <w:rFonts w:hint="default" w:ascii="Times New Roman" w:hAnsi="Times New Roman" w:eastAsia="宋体" w:cs="Times New Roman"/>
        </w:rPr>
        <w:t>去离子水清洗后，需用空气吹干备用。</w:t>
      </w:r>
    </w:p>
    <w:p>
      <w:pPr>
        <w:bidi w:val="0"/>
        <w:rPr>
          <w:rFonts w:hint="default" w:ascii="Times New Roman" w:hAnsi="Times New Roman" w:eastAsia="宋体" w:cs="Times New Roman"/>
        </w:rPr>
      </w:pPr>
      <w:r>
        <w:rPr>
          <w:rFonts w:hint="default" w:ascii="Times New Roman" w:hAnsi="Times New Roman" w:eastAsia="宋体" w:cs="Times New Roman"/>
        </w:rPr>
        <w:t>（2）采样过程现场管理</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1）</w:t>
      </w:r>
      <w:r>
        <w:rPr>
          <w:rFonts w:hint="default" w:ascii="Times New Roman" w:hAnsi="Times New Roman" w:eastAsia="宋体" w:cs="Times New Roman"/>
        </w:rPr>
        <w:t>安全责任人：负责调查、发现、并提出针对现场的安全健康的要求。有权停止现场工作中任何违反安全健康要求的操作。</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工作负责人：根据既定的采样方案组织、完成现场的采样工作，确保现场的采样工作顺利、安全实施。</w:t>
      </w:r>
    </w:p>
    <w:p>
      <w:pPr>
        <w:bidi w:val="0"/>
        <w:rPr>
          <w:rFonts w:hint="default" w:ascii="Times New Roman" w:hAnsi="Times New Roman" w:eastAsia="宋体" w:cs="Times New Roman"/>
        </w:rPr>
      </w:pPr>
      <w:r>
        <w:rPr>
          <w:rFonts w:hint="default" w:ascii="Times New Roman" w:hAnsi="Times New Roman" w:eastAsia="宋体" w:cs="Times New Roman"/>
          <w:lang w:val="en-US" w:eastAsia="zh-CN"/>
        </w:rPr>
        <w:t>3）</w:t>
      </w:r>
      <w:r>
        <w:rPr>
          <w:rFonts w:hint="default" w:ascii="Times New Roman" w:hAnsi="Times New Roman" w:eastAsia="宋体" w:cs="Times New Roman"/>
        </w:rPr>
        <w:t>样品管理员：负责采样容器的准备、采样记录和样品保存，确保样品编号正确、样品保存和流转满足要求，确保样品包装紧密，避免交叉污染，确保送样并确认实验室收到样品。</w:t>
      </w:r>
    </w:p>
    <w:p>
      <w:pPr>
        <w:pStyle w:val="6"/>
        <w:bidi w:val="0"/>
        <w:ind w:left="0" w:leftChars="0" w:firstLine="0" w:firstLineChars="0"/>
        <w:rPr>
          <w:rFonts w:hint="default" w:ascii="Times New Roman" w:hAnsi="Times New Roman" w:eastAsia="宋体" w:cs="Times New Roman"/>
          <w:lang w:val="en-US" w:eastAsia="zh-CN"/>
        </w:rPr>
      </w:pPr>
      <w:bookmarkStart w:id="108" w:name="_Toc30139"/>
      <w:bookmarkStart w:id="109" w:name="_Toc18920"/>
      <w:r>
        <w:rPr>
          <w:rFonts w:hint="default" w:ascii="Times New Roman" w:hAnsi="Times New Roman" w:eastAsia="宋体" w:cs="Times New Roman"/>
          <w:lang w:val="en-US" w:eastAsia="zh-CN"/>
        </w:rPr>
        <w:t>6.2.2 样品流转质量控制</w:t>
      </w:r>
      <w:bookmarkEnd w:id="108"/>
      <w:bookmarkEnd w:id="109"/>
    </w:p>
    <w:p>
      <w:pPr>
        <w:bidi w:val="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现场采集的样品在放入保温箱进行包装前，应对每个样品瓶上的采样编号、采样日期、采样地点等相关信息进行核对，并登记造册，同时应确保样品的密封性和包装的完整性，以保证样品编号、采样记录单及样品流转单上一致。</w:t>
      </w:r>
    </w:p>
    <w:p>
      <w:pPr>
        <w:bidi w:val="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核对后的样品应立即放入包装完整、密封性良好、内置有适量蓝冰的保存箱中，然后再进行包装。包装后的保温箱应确保内部温度不高于4</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℃，以保证样品对低温的要求，且严防样品的损失、混淆和沾污，直至最后到达检测单位分析实验室，完成样品交接。</w:t>
      </w:r>
    </w:p>
    <w:p>
      <w:pPr>
        <w:bidi w:val="0"/>
        <w:rPr>
          <w:rFonts w:hint="default" w:ascii="Times New Roman" w:hAnsi="Times New Roman" w:eastAsia="宋体" w:cs="Times New Roman"/>
        </w:rPr>
      </w:pPr>
      <w:r>
        <w:rPr>
          <w:rFonts w:hint="default" w:ascii="Times New Roman" w:hAnsi="Times New Roman" w:eastAsia="宋体" w:cs="Times New Roman"/>
        </w:rPr>
        <w:t>土壤样品的保存方式及注意事项见表</w:t>
      </w:r>
      <w:r>
        <w:rPr>
          <w:rFonts w:hint="eastAsia" w:eastAsia="宋体" w:cs="Times New Roman"/>
          <w:lang w:val="en-US" w:eastAsia="zh-CN"/>
        </w:rPr>
        <w:t>5.1.1</w:t>
      </w:r>
      <w:r>
        <w:rPr>
          <w:rFonts w:hint="default" w:ascii="Times New Roman" w:hAnsi="Times New Roman" w:eastAsia="宋体" w:cs="Times New Roman"/>
        </w:rPr>
        <w:t>。</w:t>
      </w:r>
    </w:p>
    <w:p>
      <w:pPr>
        <w:pStyle w:val="6"/>
        <w:bidi w:val="0"/>
        <w:ind w:left="0" w:leftChars="0" w:firstLine="0" w:firstLineChars="0"/>
        <w:rPr>
          <w:rFonts w:hint="default" w:ascii="Times New Roman" w:hAnsi="Times New Roman" w:eastAsia="宋体" w:cs="Times New Roman"/>
          <w:lang w:val="en-US" w:eastAsia="zh-CN"/>
        </w:rPr>
      </w:pPr>
      <w:bookmarkStart w:id="110" w:name="_Toc24623"/>
      <w:bookmarkStart w:id="111" w:name="_Toc19269"/>
      <w:r>
        <w:rPr>
          <w:rFonts w:hint="default" w:ascii="Times New Roman" w:hAnsi="Times New Roman" w:eastAsia="宋体" w:cs="Times New Roman"/>
          <w:lang w:val="en-US" w:eastAsia="zh-CN"/>
        </w:rPr>
        <w:t>6.2.3 实验室分析质量控制</w:t>
      </w:r>
      <w:bookmarkEnd w:id="110"/>
      <w:bookmarkEnd w:id="111"/>
    </w:p>
    <w:p>
      <w:pPr>
        <w:bidi w:val="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实验室内部质量控制</w:t>
      </w:r>
    </w:p>
    <w:p>
      <w:pPr>
        <w:bidi w:val="0"/>
        <w:rPr>
          <w:rFonts w:hint="default" w:ascii="Times New Roman" w:hAnsi="Times New Roman" w:eastAsia="宋体" w:cs="Times New Roman"/>
        </w:rPr>
      </w:pPr>
      <w:r>
        <w:rPr>
          <w:rFonts w:hint="default" w:ascii="Times New Roman" w:hAnsi="Times New Roman" w:eastAsia="宋体" w:cs="Times New Roman"/>
        </w:rPr>
        <w:t>样品分析质量控制由第三方实验室保证。为了保证分析样品的准确性，除了实验室已经过CMA认证，仪器按照规定定期校正外，在进行样品分析时还对各环节进行质量控制，随时检查和发现分析测试数据是否受控（主要通过标准曲线、精密度、准确度等）。每个测定项目计算结果要进行复核，保证分析数据的可靠性和准确性。</w:t>
      </w:r>
    </w:p>
    <w:p>
      <w:pPr>
        <w:bidi w:val="0"/>
        <w:rPr>
          <w:rFonts w:hint="default" w:ascii="Times New Roman" w:hAnsi="Times New Roman" w:eastAsia="宋体" w:cs="Times New Roman"/>
        </w:rPr>
      </w:pPr>
      <w:r>
        <w:rPr>
          <w:rFonts w:hint="default" w:ascii="Times New Roman" w:hAnsi="Times New Roman" w:eastAsia="宋体" w:cs="Times New Roman"/>
        </w:rPr>
        <w:t>实验室每20个样品提供一组方法空白，实验室控制样，样品平行，样品加标和加标平行结果，结果都符合实验室的日常质量要求，同时对于半挥发性有机物每个还提供了替代物作为回收率示踪物。</w:t>
      </w:r>
    </w:p>
    <w:p>
      <w:pPr>
        <w:bidi w:val="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现场质量控制样品检测结果分析</w:t>
      </w:r>
    </w:p>
    <w:p>
      <w:pPr>
        <w:bidi w:val="0"/>
        <w:rPr>
          <w:rFonts w:hint="default" w:ascii="Times New Roman" w:hAnsi="Times New Roman" w:eastAsia="宋体" w:cs="Times New Roman"/>
        </w:rPr>
      </w:pPr>
      <w:r>
        <w:rPr>
          <w:rFonts w:hint="default" w:ascii="Times New Roman" w:hAnsi="Times New Roman" w:eastAsia="宋体" w:cs="Times New Roman"/>
        </w:rPr>
        <w:t>通过原始样和平行样的相对分析误差（RPD）来评价从采样到样品运输、贮存和数据分析等不同阶段的质量控制效果，RPD目标值要求重金属不超过±20%，有机物不超过±30%。对于检出浓度低于检测限10倍的参数，其相对分析误差未计算，或者可以接受更高的RPD。RPD计算公式如下：</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    </w:t>
      </w:r>
      <w:r>
        <w:rPr>
          <w:rFonts w:hint="default" w:ascii="Times New Roman" w:hAnsi="Times New Roman" w:eastAsia="宋体" w:cs="Times New Roman"/>
          <w:position w:val="-30"/>
          <w:sz w:val="28"/>
          <w:szCs w:val="28"/>
        </w:rPr>
        <w:object>
          <v:shape id="_x0000_i1038" o:spt="75" type="#_x0000_t75" style="height:36pt;width:138pt;" o:ole="t" filled="f" o:preferrelative="t" stroked="f" coordsize="21600,21600">
            <v:path/>
            <v:fill on="f" focussize="0,0"/>
            <v:stroke on="f"/>
            <v:imagedata r:id="rId62" o:title=""/>
            <o:lock v:ext="edit" aspectratio="t"/>
            <w10:wrap type="none"/>
            <w10:anchorlock/>
          </v:shape>
          <o:OLEObject Type="Embed" ProgID="Equation.3" ShapeID="_x0000_i1038" DrawAspect="Content" ObjectID="_1468075738" r:id="rId61">
            <o:LockedField>false</o:LockedField>
          </o:OLEObject>
        </w:object>
      </w:r>
    </w:p>
    <w:p>
      <w:pPr>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式中：Ci</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—某平行样i中某检测项目的检出浓度；</w:t>
      </w:r>
    </w:p>
    <w:p>
      <w:pPr>
        <w:spacing w:line="440" w:lineRule="exact"/>
        <w:ind w:firstLine="480" w:firstLineChars="200"/>
        <w:rPr>
          <w:rFonts w:hint="default" w:ascii="Times New Roman" w:hAnsi="Times New Roman" w:eastAsia="宋体" w:cs="Times New Roman"/>
        </w:rPr>
      </w:pPr>
      <w:r>
        <w:rPr>
          <w:rFonts w:hint="default" w:ascii="Times New Roman" w:hAnsi="Times New Roman" w:eastAsia="宋体" w:cs="Times New Roman"/>
          <w:sz w:val="24"/>
        </w:rPr>
        <w:t xml:space="preserve">      Ci</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—平行样i对应的原始样中该检测项目的检出浓度。</w:t>
      </w:r>
    </w:p>
    <w:p>
      <w:pPr>
        <w:pStyle w:val="4"/>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bookmarkStart w:id="112" w:name="_Toc27549"/>
      <w:bookmarkStart w:id="113" w:name="_Toc16130"/>
      <w:r>
        <w:rPr>
          <w:rFonts w:hint="default" w:ascii="Times New Roman" w:hAnsi="Times New Roman" w:eastAsia="宋体" w:cs="Times New Roman"/>
          <w:lang w:val="en-US" w:eastAsia="zh-CN"/>
        </w:rPr>
        <w:t>7</w:t>
      </w:r>
      <w:r>
        <w:rPr>
          <w:rFonts w:hint="default" w:ascii="Times New Roman" w:hAnsi="Times New Roman" w:eastAsia="宋体" w:cs="Times New Roman"/>
          <w:sz w:val="30"/>
          <w:szCs w:val="30"/>
          <w:lang w:val="en-US" w:eastAsia="zh-CN"/>
        </w:rPr>
        <w:t xml:space="preserve"> </w:t>
      </w:r>
      <w:bookmarkStart w:id="114" w:name="_Toc2736"/>
      <w:r>
        <w:rPr>
          <w:rFonts w:hint="default" w:ascii="Times New Roman" w:hAnsi="Times New Roman" w:eastAsia="宋体" w:cs="Times New Roman"/>
          <w:sz w:val="30"/>
          <w:szCs w:val="30"/>
          <w:lang w:val="en-US" w:eastAsia="zh-CN"/>
        </w:rPr>
        <w:t>工期安排及结果评价</w:t>
      </w:r>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sz w:val="24"/>
          <w:szCs w:val="24"/>
        </w:rPr>
        <w:t>本项目场地调查工作，从项目启动至取得主管部门有关批复，计划工期</w:t>
      </w:r>
      <w:r>
        <w:rPr>
          <w:rFonts w:hint="default" w:ascii="Times New Roman" w:hAnsi="Times New Roman" w:eastAsia="宋体" w:cs="Times New Roman"/>
          <w:sz w:val="24"/>
          <w:szCs w:val="24"/>
          <w:lang w:eastAsia="zh-CN"/>
        </w:rPr>
        <w:t>含专家评审及项目备案</w:t>
      </w:r>
      <w:r>
        <w:rPr>
          <w:rFonts w:hint="default" w:ascii="Times New Roman" w:hAnsi="Times New Roman" w:eastAsia="宋体" w:cs="Times New Roman"/>
          <w:sz w:val="24"/>
          <w:szCs w:val="24"/>
        </w:rPr>
        <w:t>为</w:t>
      </w:r>
      <w:r>
        <w:rPr>
          <w:rFonts w:hint="default" w:ascii="Times New Roman" w:hAnsi="Times New Roman" w:eastAsia="宋体" w:cs="Times New Roman"/>
          <w:sz w:val="24"/>
          <w:szCs w:val="24"/>
          <w:lang w:val="en-US" w:eastAsia="zh-CN"/>
        </w:rPr>
        <w:t>32</w:t>
      </w:r>
      <w:r>
        <w:rPr>
          <w:rFonts w:hint="default" w:ascii="Times New Roman" w:hAnsi="Times New Roman" w:eastAsia="宋体" w:cs="Times New Roman"/>
          <w:b w:val="0"/>
          <w:bCs w:val="0"/>
          <w:sz w:val="24"/>
          <w:szCs w:val="24"/>
        </w:rPr>
        <w:t>个工作日。</w:t>
      </w:r>
      <w:r>
        <w:rPr>
          <w:rFonts w:hint="default" w:ascii="Times New Roman" w:hAnsi="Times New Roman" w:eastAsia="宋体" w:cs="Times New Roman"/>
          <w:b w:val="0"/>
          <w:bCs w:val="0"/>
          <w:sz w:val="24"/>
          <w:szCs w:val="24"/>
          <w:lang w:eastAsia="zh-CN"/>
        </w:rPr>
        <w:t>项目工期安排见表</w:t>
      </w:r>
      <w:r>
        <w:rPr>
          <w:rFonts w:hint="default" w:ascii="Times New Roman" w:hAnsi="Times New Roman" w:eastAsia="宋体" w:cs="Times New Roman"/>
          <w:b w:val="0"/>
          <w:bCs w:val="0"/>
          <w:sz w:val="24"/>
          <w:szCs w:val="24"/>
          <w:lang w:val="en-US" w:eastAsia="zh-CN"/>
        </w:rPr>
        <w:t>7.1-1。</w:t>
      </w:r>
    </w:p>
    <w:p>
      <w:pPr>
        <w:pStyle w:val="2"/>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7.1-1  项目工期安排</w:t>
      </w:r>
    </w:p>
    <w:tbl>
      <w:tblPr>
        <w:tblStyle w:val="15"/>
        <w:tblpPr w:leftFromText="180" w:rightFromText="180" w:vertAnchor="text" w:horzAnchor="page" w:tblpX="2002" w:tblpY="76"/>
        <w:tblOverlap w:val="never"/>
        <w:tblW w:w="8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371"/>
        <w:gridCol w:w="1650"/>
        <w:gridCol w:w="3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工作内容</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工作时间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（工作日）</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1</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现场踏勘、资料收集与分析及调查方案编制</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前提为所需资料提供及时、完整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现场钻探及采样</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前提无恶劣天气及其它不可抗因素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3</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送检及实验室分析</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8</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委托有资质的第三方实验室检测分析，如出现未预期的超标现象，需要增加5到10个工作日复测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4</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检测数据分析及调查报告的编制</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根据检测结果进行报告编制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报审，由主管部门组织《场地环境调查报告》专家评审</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7-14</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预估时间，</w:t>
            </w:r>
            <w:r>
              <w:rPr>
                <w:rFonts w:hint="default" w:ascii="Times New Roman" w:hAnsi="Times New Roman" w:eastAsia="宋体" w:cs="Times New Roman"/>
                <w:sz w:val="21"/>
                <w:szCs w:val="21"/>
              </w:rPr>
              <w:t>具体根据主管部门工作安排确定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6</w:t>
            </w:r>
          </w:p>
        </w:tc>
        <w:tc>
          <w:tcPr>
            <w:tcW w:w="23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调查报告修改完善、专家确认并上报主管部门报批，取得主管部门批复</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344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预估时间，前提无领导长期出差、政策重大变动等不可抗因素，具体根据主管部门工作安排确定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p>
        </w:tc>
        <w:tc>
          <w:tcPr>
            <w:tcW w:w="237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合计</w:t>
            </w:r>
          </w:p>
        </w:tc>
        <w:tc>
          <w:tcPr>
            <w:tcW w:w="165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32-39</w:t>
            </w:r>
          </w:p>
        </w:tc>
        <w:tc>
          <w:tcPr>
            <w:tcW w:w="344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预估时间，我方可控时间为</w:t>
            </w:r>
            <w:r>
              <w:rPr>
                <w:rFonts w:hint="default" w:ascii="Times New Roman" w:hAnsi="Times New Roman" w:eastAsia="宋体" w:cs="Times New Roman"/>
                <w:sz w:val="21"/>
                <w:szCs w:val="21"/>
                <w:lang w:val="en-US" w:eastAsia="zh-CN"/>
              </w:rPr>
              <w:t>20天，其余时间</w:t>
            </w:r>
            <w:r>
              <w:rPr>
                <w:rFonts w:hint="default" w:ascii="Times New Roman" w:hAnsi="Times New Roman" w:eastAsia="宋体" w:cs="Times New Roman"/>
                <w:sz w:val="21"/>
                <w:szCs w:val="21"/>
                <w:lang w:eastAsia="zh-CN"/>
              </w:rPr>
              <w:t>根据主管部门安排确定</w:t>
            </w:r>
          </w:p>
        </w:tc>
      </w:tr>
    </w:tbl>
    <w:p>
      <w:pPr>
        <w:pStyle w:val="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土壤所测项目分析结果参考《土壤环境质量建设用地土壤污染风险管控标准（试行）》（GB 36600-2018）中标准限值进行评价，本标准中未列入的污染物项目，可依据HJ 25.3等标准及相关技术要求推导特定污染物的土壤污染风险筛选值。</w:t>
      </w:r>
      <w:bookmarkEnd w:id="99"/>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OK07EAgAA2g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CZzitOxAIAANoFAAAOAAAA&#10;AAAAAAEAIAAAAB8BAABkcnMvZTJvRG9jLnhtbFBLBQYAAAAABgAGAFkBAABVBgAAAAA=&#10;">
              <v:fill on="f" focussize="0,0"/>
              <v:stroke on="f" weight="0.5pt"/>
              <v:imagedata o:title=""/>
              <o:lock v:ext="edit" aspectratio="f"/>
              <v:textbox inset="0mm,0mm,0mm,0mm" style="mso-fit-shape-to-text:t;">
                <w:txbxContent>
                  <w:p>
                    <w:pPr>
                      <w:pStyle w:val="9"/>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0F34A4"/>
    <w:multiLevelType w:val="singleLevel"/>
    <w:tmpl w:val="840F34A4"/>
    <w:lvl w:ilvl="0" w:tentative="0">
      <w:start w:val="1"/>
      <w:numFmt w:val="lowerLetter"/>
      <w:lvlText w:val="%1."/>
      <w:lvlJc w:val="left"/>
      <w:pPr>
        <w:tabs>
          <w:tab w:val="left" w:pos="312"/>
        </w:tabs>
      </w:pPr>
    </w:lvl>
  </w:abstractNum>
  <w:abstractNum w:abstractNumId="1">
    <w:nsid w:val="BF907C5C"/>
    <w:multiLevelType w:val="singleLevel"/>
    <w:tmpl w:val="BF907C5C"/>
    <w:lvl w:ilvl="0" w:tentative="0">
      <w:start w:val="1"/>
      <w:numFmt w:val="lowerLetter"/>
      <w:lvlText w:val="%1."/>
      <w:lvlJc w:val="left"/>
      <w:pPr>
        <w:tabs>
          <w:tab w:val="left" w:pos="312"/>
        </w:tabs>
      </w:pPr>
    </w:lvl>
  </w:abstractNum>
  <w:abstractNum w:abstractNumId="2">
    <w:nsid w:val="628CB7EC"/>
    <w:multiLevelType w:val="singleLevel"/>
    <w:tmpl w:val="628CB7EC"/>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67BC"/>
    <w:rsid w:val="03FC7C5C"/>
    <w:rsid w:val="06174D3F"/>
    <w:rsid w:val="067172D7"/>
    <w:rsid w:val="081D21E6"/>
    <w:rsid w:val="08955AB7"/>
    <w:rsid w:val="0A095282"/>
    <w:rsid w:val="0BC759AD"/>
    <w:rsid w:val="0C982048"/>
    <w:rsid w:val="0CF84569"/>
    <w:rsid w:val="0D472AA3"/>
    <w:rsid w:val="0ECA2B43"/>
    <w:rsid w:val="1085089B"/>
    <w:rsid w:val="11AB45E9"/>
    <w:rsid w:val="15814B8D"/>
    <w:rsid w:val="160B4788"/>
    <w:rsid w:val="17972FEB"/>
    <w:rsid w:val="19D32E50"/>
    <w:rsid w:val="1AB544EA"/>
    <w:rsid w:val="1B196BE0"/>
    <w:rsid w:val="1BB84D49"/>
    <w:rsid w:val="1DF5463D"/>
    <w:rsid w:val="1FC45056"/>
    <w:rsid w:val="1FD41164"/>
    <w:rsid w:val="208D329C"/>
    <w:rsid w:val="20B76734"/>
    <w:rsid w:val="219B07B5"/>
    <w:rsid w:val="25AC0E12"/>
    <w:rsid w:val="27C63200"/>
    <w:rsid w:val="2A5511D5"/>
    <w:rsid w:val="2B9E78A1"/>
    <w:rsid w:val="2BDC3AEA"/>
    <w:rsid w:val="2D703D4C"/>
    <w:rsid w:val="2EC33092"/>
    <w:rsid w:val="30D41367"/>
    <w:rsid w:val="30D5261F"/>
    <w:rsid w:val="33165A70"/>
    <w:rsid w:val="337B068F"/>
    <w:rsid w:val="34A00BEC"/>
    <w:rsid w:val="39FE1DC8"/>
    <w:rsid w:val="3B865660"/>
    <w:rsid w:val="404B0171"/>
    <w:rsid w:val="40D03CCB"/>
    <w:rsid w:val="41BF7FEF"/>
    <w:rsid w:val="41C417FA"/>
    <w:rsid w:val="42E43F09"/>
    <w:rsid w:val="45702155"/>
    <w:rsid w:val="47086A7C"/>
    <w:rsid w:val="47E42D85"/>
    <w:rsid w:val="4A16728F"/>
    <w:rsid w:val="4D2D6D35"/>
    <w:rsid w:val="4E235706"/>
    <w:rsid w:val="4F73310E"/>
    <w:rsid w:val="5214092D"/>
    <w:rsid w:val="529C1C16"/>
    <w:rsid w:val="53151E1E"/>
    <w:rsid w:val="598E3194"/>
    <w:rsid w:val="5BC626AF"/>
    <w:rsid w:val="5DD42B28"/>
    <w:rsid w:val="622F3969"/>
    <w:rsid w:val="62793991"/>
    <w:rsid w:val="65425958"/>
    <w:rsid w:val="68301C77"/>
    <w:rsid w:val="690A2F3A"/>
    <w:rsid w:val="6A9A379A"/>
    <w:rsid w:val="6FCA5677"/>
    <w:rsid w:val="72684BCD"/>
    <w:rsid w:val="737136D7"/>
    <w:rsid w:val="749C17DA"/>
    <w:rsid w:val="751C6D69"/>
    <w:rsid w:val="789E4BA8"/>
    <w:rsid w:val="7AF80562"/>
    <w:rsid w:val="7CD939B2"/>
    <w:rsid w:val="7EDC09C4"/>
    <w:rsid w:val="7F7F3BFD"/>
    <w:rsid w:val="7FFB3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1044" w:firstLineChars="200"/>
      <w:jc w:val="both"/>
    </w:pPr>
    <w:rPr>
      <w:rFonts w:ascii="Times New Roman" w:hAnsi="Times New Roman" w:cs="Times New Roman" w:eastAsiaTheme="majorEastAsia"/>
      <w:sz w:val="24"/>
      <w:szCs w:val="24"/>
      <w:lang w:val="en-US" w:eastAsia="zh-CN" w:bidi="ar-SA"/>
    </w:rPr>
  </w:style>
  <w:style w:type="paragraph" w:styleId="4">
    <w:name w:val="heading 1"/>
    <w:basedOn w:val="1"/>
    <w:next w:val="1"/>
    <w:link w:val="19"/>
    <w:qFormat/>
    <w:uiPriority w:val="0"/>
    <w:pPr>
      <w:keepNext/>
      <w:keepLines/>
      <w:spacing w:before="180" w:after="180" w:line="480" w:lineRule="exact"/>
      <w:outlineLvl w:val="0"/>
    </w:pPr>
    <w:rPr>
      <w:b/>
      <w:bCs/>
      <w:kern w:val="44"/>
      <w:sz w:val="32"/>
      <w:szCs w:val="44"/>
    </w:rPr>
  </w:style>
  <w:style w:type="paragraph" w:styleId="5">
    <w:name w:val="heading 2"/>
    <w:basedOn w:val="1"/>
    <w:next w:val="1"/>
    <w:link w:val="20"/>
    <w:unhideWhenUsed/>
    <w:qFormat/>
    <w:uiPriority w:val="0"/>
    <w:pPr>
      <w:keepNext/>
      <w:keepLines/>
      <w:spacing w:before="120" w:after="120"/>
      <w:outlineLvl w:val="1"/>
    </w:pPr>
    <w:rPr>
      <w:b/>
      <w:bCs/>
      <w:sz w:val="30"/>
      <w:szCs w:val="32"/>
    </w:rPr>
  </w:style>
  <w:style w:type="paragraph" w:styleId="6">
    <w:name w:val="heading 3"/>
    <w:basedOn w:val="1"/>
    <w:next w:val="1"/>
    <w:unhideWhenUsed/>
    <w:qFormat/>
    <w:uiPriority w:val="0"/>
    <w:pPr>
      <w:keepNext/>
      <w:keepLines/>
      <w:spacing w:line="480" w:lineRule="exact"/>
      <w:outlineLvl w:val="2"/>
    </w:pPr>
    <w:rPr>
      <w:b/>
      <w:bCs/>
      <w:szCs w:val="32"/>
    </w:rPr>
  </w:style>
  <w:style w:type="paragraph" w:styleId="3">
    <w:name w:val="heading 4"/>
    <w:basedOn w:val="1"/>
    <w:next w:val="1"/>
    <w:unhideWhenUsed/>
    <w:qFormat/>
    <w:uiPriority w:val="0"/>
    <w:pPr>
      <w:keepNext/>
      <w:keepLines/>
      <w:spacing w:before="60" w:beforeLines="0" w:beforeAutospacing="0" w:after="60" w:afterLines="0" w:afterAutospacing="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Normal Indent"/>
    <w:basedOn w:val="1"/>
    <w:next w:val="3"/>
    <w:unhideWhenUsed/>
    <w:qFormat/>
    <w:uiPriority w:val="99"/>
    <w:pPr>
      <w:ind w:firstLine="420"/>
    </w:pPr>
  </w:style>
  <w:style w:type="paragraph" w:styleId="7">
    <w:name w:val="Body Text Indent"/>
    <w:basedOn w:val="1"/>
    <w:qFormat/>
    <w:uiPriority w:val="0"/>
    <w:pPr>
      <w:spacing w:after="120"/>
      <w:ind w:left="420" w:leftChars="200"/>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2"/>
    <w:basedOn w:val="7"/>
    <w:qFormat/>
    <w:uiPriority w:val="0"/>
    <w:pPr>
      <w:adjustRightInd w:val="0"/>
      <w:snapToGrid w:val="0"/>
      <w:spacing w:line="360" w:lineRule="auto"/>
      <w:ind w:left="0" w:leftChars="0"/>
    </w:pPr>
    <w:rPr>
      <w:rFonts w:ascii="Times New Roman" w:hAnsi="Times New Roman" w:eastAsia="宋体" w:cs="宋体"/>
      <w:color w:val="000000"/>
      <w:kern w:val="0"/>
      <w:szCs w:val="2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character" w:customStyle="1" w:styleId="19">
    <w:name w:val="标题 1 Char"/>
    <w:link w:val="4"/>
    <w:qFormat/>
    <w:uiPriority w:val="0"/>
    <w:rPr>
      <w:rFonts w:eastAsiaTheme="majorEastAsia"/>
      <w:b/>
      <w:bCs/>
      <w:kern w:val="44"/>
      <w:sz w:val="32"/>
      <w:szCs w:val="44"/>
    </w:rPr>
  </w:style>
  <w:style w:type="character" w:customStyle="1" w:styleId="20">
    <w:name w:val="标题 2 Char"/>
    <w:link w:val="5"/>
    <w:qFormat/>
    <w:uiPriority w:val="0"/>
    <w:rPr>
      <w:b/>
      <w:bCs/>
      <w:sz w:val="30"/>
      <w:szCs w:val="32"/>
    </w:rPr>
  </w:style>
  <w:style w:type="character" w:customStyle="1" w:styleId="21">
    <w:name w:val="fontstyle01"/>
    <w:qFormat/>
    <w:uiPriority w:val="0"/>
    <w:rPr>
      <w:rFonts w:ascii="宋体" w:hAnsi="宋体" w:eastAsia="宋体" w:cs="宋体"/>
      <w:color w:val="000000"/>
      <w:sz w:val="24"/>
      <w:szCs w:val="24"/>
    </w:rPr>
  </w:style>
  <w:style w:type="character" w:customStyle="1" w:styleId="22">
    <w:name w:val="fontstyle11"/>
    <w:qFormat/>
    <w:uiPriority w:val="0"/>
    <w:rPr>
      <w:rFonts w:ascii="宋体" w:hAnsi="宋体" w:eastAsia="宋体" w:cs="宋体"/>
      <w:color w:val="000000"/>
      <w:sz w:val="18"/>
      <w:szCs w:val="18"/>
    </w:rPr>
  </w:style>
  <w:style w:type="character" w:customStyle="1" w:styleId="23">
    <w:name w:val="font31"/>
    <w:basedOn w:val="17"/>
    <w:qFormat/>
    <w:uiPriority w:val="0"/>
    <w:rPr>
      <w:rFonts w:hint="eastAsia" w:ascii="宋体" w:hAnsi="宋体" w:eastAsia="宋体" w:cs="宋体"/>
      <w:color w:val="000000"/>
      <w:sz w:val="21"/>
      <w:szCs w:val="21"/>
      <w:u w:val="none"/>
    </w:rPr>
  </w:style>
  <w:style w:type="paragraph" w:customStyle="1" w:styleId="24">
    <w:name w:val="场评正文"/>
    <w:basedOn w:val="1"/>
    <w:qFormat/>
    <w:uiPriority w:val="0"/>
    <w:pPr>
      <w:spacing w:line="360" w:lineRule="auto"/>
      <w:ind w:firstLine="480" w:firstLineChars="200"/>
    </w:pPr>
    <w:rPr>
      <w:color w:val="000000"/>
      <w:kern w:val="0"/>
      <w:sz w:val="24"/>
    </w:rPr>
  </w:style>
  <w:style w:type="paragraph" w:customStyle="1" w:styleId="25">
    <w:name w:val="无间隔1"/>
    <w:qFormat/>
    <w:uiPriority w:val="1"/>
    <w:pPr>
      <w:widowControl w:val="0"/>
      <w:adjustRightInd w:val="0"/>
      <w:spacing w:before="50" w:beforeLines="50"/>
      <w:jc w:val="center"/>
    </w:pPr>
    <w:rPr>
      <w:rFonts w:ascii="Times New Roman" w:hAnsi="Times New Roman" w:eastAsia="宋体" w:cs="Times New Roman"/>
      <w:b/>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1.wmf"/><Relationship Id="rId61" Type="http://schemas.openxmlformats.org/officeDocument/2006/relationships/oleObject" Target="embeddings/oleObject14.bin"/><Relationship Id="rId60" Type="http://schemas.openxmlformats.org/officeDocument/2006/relationships/image" Target="media/image40.bmp"/><Relationship Id="rId6" Type="http://schemas.openxmlformats.org/officeDocument/2006/relationships/footer" Target="footer3.xml"/><Relationship Id="rId59" Type="http://schemas.openxmlformats.org/officeDocument/2006/relationships/image" Target="media/image39.bmp"/><Relationship Id="rId58" Type="http://schemas.openxmlformats.org/officeDocument/2006/relationships/image" Target="media/image38.bmp"/><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oleObject" Target="embeddings/oleObject13.bin"/><Relationship Id="rId45" Type="http://schemas.openxmlformats.org/officeDocument/2006/relationships/image" Target="media/image26.wmf"/><Relationship Id="rId44" Type="http://schemas.openxmlformats.org/officeDocument/2006/relationships/oleObject" Target="embeddings/oleObject12.bin"/><Relationship Id="rId43" Type="http://schemas.openxmlformats.org/officeDocument/2006/relationships/image" Target="media/image25.wmf"/><Relationship Id="rId42" Type="http://schemas.openxmlformats.org/officeDocument/2006/relationships/oleObject" Target="embeddings/oleObject11.bin"/><Relationship Id="rId41" Type="http://schemas.openxmlformats.org/officeDocument/2006/relationships/oleObject" Target="embeddings/oleObject10.bin"/><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3.wmf"/><Relationship Id="rId37" Type="http://schemas.openxmlformats.org/officeDocument/2006/relationships/oleObject" Target="embeddings/oleObject8.bin"/><Relationship Id="rId36" Type="http://schemas.openxmlformats.org/officeDocument/2006/relationships/image" Target="media/image22.wmf"/><Relationship Id="rId35" Type="http://schemas.openxmlformats.org/officeDocument/2006/relationships/oleObject" Target="embeddings/oleObject7.bin"/><Relationship Id="rId34" Type="http://schemas.openxmlformats.org/officeDocument/2006/relationships/image" Target="media/image21.wmf"/><Relationship Id="rId33" Type="http://schemas.openxmlformats.org/officeDocument/2006/relationships/oleObject" Target="embeddings/oleObject6.bin"/><Relationship Id="rId32" Type="http://schemas.openxmlformats.org/officeDocument/2006/relationships/image" Target="media/image20.wmf"/><Relationship Id="rId31" Type="http://schemas.openxmlformats.org/officeDocument/2006/relationships/oleObject" Target="embeddings/oleObject5.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8.wmf"/><Relationship Id="rId27" Type="http://schemas.openxmlformats.org/officeDocument/2006/relationships/oleObject" Target="embeddings/oleObject3.bin"/><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wmf"/><Relationship Id="rId23" Type="http://schemas.openxmlformats.org/officeDocument/2006/relationships/oleObject" Target="embeddings/oleObject1.bin"/><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张保花</cp:lastModifiedBy>
  <cp:lastPrinted>2019-11-23T08:36:00Z</cp:lastPrinted>
  <dcterms:modified xsi:type="dcterms:W3CDTF">2019-12-18T03:10:13Z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