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b/>
          <w:color w:val="auto"/>
          <w:sz w:val="52"/>
          <w:szCs w:val="52"/>
          <w:lang w:val="en-US" w:eastAsia="zh-CN"/>
        </w:rPr>
      </w:pPr>
      <w:r>
        <w:rPr>
          <w:rFonts w:hint="default" w:ascii="Times New Roman" w:hAnsi="Times New Roman" w:eastAsia="宋体" w:cs="Times New Roman"/>
          <w:b/>
          <w:bCs/>
          <w:color w:val="auto"/>
          <w:sz w:val="24"/>
          <w:szCs w:val="24"/>
        </w:rPr>
        <w:drawing>
          <wp:anchor distT="0" distB="0" distL="114300" distR="114300" simplePos="0" relativeHeight="251658240" behindDoc="0" locked="0" layoutInCell="1" allowOverlap="1">
            <wp:simplePos x="0" y="0"/>
            <wp:positionH relativeFrom="column">
              <wp:posOffset>-81915</wp:posOffset>
            </wp:positionH>
            <wp:positionV relativeFrom="paragraph">
              <wp:posOffset>218440</wp:posOffset>
            </wp:positionV>
            <wp:extent cx="3250565" cy="697865"/>
            <wp:effectExtent l="0" t="0" r="6985" b="6985"/>
            <wp:wrapNone/>
            <wp:docPr id="1"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69"/>
                    <pic:cNvPicPr>
                      <a:picLocks noChangeAspect="1"/>
                    </pic:cNvPicPr>
                  </pic:nvPicPr>
                  <pic:blipFill>
                    <a:blip r:embed="rId7"/>
                    <a:stretch>
                      <a:fillRect/>
                    </a:stretch>
                  </pic:blipFill>
                  <pic:spPr>
                    <a:xfrm>
                      <a:off x="0" y="0"/>
                      <a:ext cx="3250565" cy="697865"/>
                    </a:xfrm>
                    <a:prstGeom prst="rect">
                      <a:avLst/>
                    </a:prstGeom>
                    <a:noFill/>
                    <a:ln>
                      <a:noFill/>
                    </a:ln>
                  </pic:spPr>
                </pic:pic>
              </a:graphicData>
            </a:graphic>
          </wp:anchor>
        </w:drawing>
      </w:r>
      <w:r>
        <w:rPr>
          <w:rFonts w:hint="default" w:ascii="Times New Roman" w:hAnsi="Times New Roman" w:eastAsia="宋体" w:cs="Times New Roman"/>
          <w:b/>
          <w:color w:val="auto"/>
          <w:sz w:val="52"/>
          <w:szCs w:val="52"/>
          <w:lang w:val="en-US" w:eastAsia="zh-CN"/>
        </w:rPr>
        <w:t xml:space="preserve">                                                                                                                                                                                                                                                                                                                                                                                                                                                                                                                                                                                                                                                                                                                                                                                                                                                                                                                                                                                                                                                                                                                                                                                                                                                                                                                                                                                                                                                                                                                                                                                                                                                                                                                                                                                                                                                                                                                                                                                                                                                                                                                                                                                                                                                                                                                                                                                                                                                                                                                                                                                                                                                                                                                                                                                                                                                                                                                                                                                                                                                                                                                                                                                                                                                                                                                                                                                                                                                                                                                                                                                                                                                                                                                                                                                                                                                                                                                                                                                                                                                                                                                                                                                                                </w:t>
      </w:r>
      <w:r>
        <w:rPr>
          <w:rFonts w:hint="default" w:ascii="Times New Roman" w:hAnsi="Times New Roman" w:eastAsia="宋体" w:cs="Times New Roman"/>
          <w:b/>
          <w:color w:val="auto"/>
          <w:sz w:val="52"/>
          <w:szCs w:val="52"/>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color w:val="auto"/>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color w:val="auto"/>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b/>
          <w:bCs w:val="0"/>
          <w:color w:val="auto"/>
          <w:sz w:val="44"/>
          <w:szCs w:val="44"/>
          <w:lang w:val="en-US" w:eastAsia="zh-CN"/>
        </w:rPr>
      </w:pPr>
    </w:p>
    <w:p>
      <w:pPr>
        <w:pStyle w:val="2"/>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color w:val="auto"/>
          <w:lang w:val="en-US" w:eastAsia="zh-CN"/>
        </w:rPr>
      </w:pPr>
    </w:p>
    <w:p>
      <w:pPr>
        <w:pageBreakBefore w:val="0"/>
        <w:tabs>
          <w:tab w:val="left" w:pos="2500"/>
        </w:tabs>
        <w:kinsoku/>
        <w:wordWrap/>
        <w:overflowPunct/>
        <w:topLinePunct w:val="0"/>
        <w:autoSpaceDE/>
        <w:autoSpaceDN/>
        <w:bidi w:val="0"/>
        <w:snapToGrid w:val="0"/>
        <w:spacing w:line="360" w:lineRule="auto"/>
        <w:ind w:firstLine="0" w:firstLineChars="0"/>
        <w:jc w:val="center"/>
        <w:rPr>
          <w:rFonts w:hint="default" w:ascii="Times New Roman" w:hAnsi="Times New Roman" w:eastAsia="宋体" w:cs="Times New Roman"/>
          <w:b/>
          <w:bCs/>
          <w:color w:val="auto"/>
          <w:sz w:val="48"/>
          <w:szCs w:val="48"/>
          <w:lang w:val="en-US" w:eastAsia="zh-CN"/>
        </w:rPr>
      </w:pPr>
      <w:r>
        <w:rPr>
          <w:rFonts w:hint="default" w:ascii="Times New Roman" w:hAnsi="Times New Roman" w:eastAsia="宋体" w:cs="Times New Roman"/>
          <w:b/>
          <w:bCs/>
          <w:color w:val="auto"/>
          <w:sz w:val="44"/>
          <w:szCs w:val="44"/>
          <w:lang w:val="en-US" w:eastAsia="zh-CN"/>
        </w:rPr>
        <w:t>邢台兴安液压机械有限公司企业用地</w:t>
      </w:r>
    </w:p>
    <w:p>
      <w:pPr>
        <w:pageBreakBefore w:val="0"/>
        <w:tabs>
          <w:tab w:val="left" w:pos="2500"/>
        </w:tabs>
        <w:kinsoku/>
        <w:wordWrap/>
        <w:overflowPunct/>
        <w:topLinePunct w:val="0"/>
        <w:autoSpaceDE/>
        <w:autoSpaceDN/>
        <w:bidi w:val="0"/>
        <w:snapToGrid w:val="0"/>
        <w:spacing w:line="360" w:lineRule="auto"/>
        <w:ind w:firstLine="0" w:firstLineChars="0"/>
        <w:jc w:val="center"/>
        <w:rPr>
          <w:rFonts w:hint="default" w:ascii="Times New Roman" w:hAnsi="Times New Roman" w:eastAsia="宋体" w:cs="Times New Roman"/>
          <w:b/>
          <w:color w:val="auto"/>
          <w:sz w:val="52"/>
          <w:szCs w:val="52"/>
        </w:rPr>
      </w:pPr>
      <w:r>
        <w:rPr>
          <w:rFonts w:hint="default" w:ascii="Times New Roman" w:hAnsi="Times New Roman" w:eastAsia="宋体" w:cs="Times New Roman"/>
          <w:b/>
          <w:bCs/>
          <w:color w:val="auto"/>
          <w:sz w:val="48"/>
          <w:szCs w:val="48"/>
          <w:lang w:val="en-US" w:eastAsia="zh-CN"/>
        </w:rPr>
        <w:t>2019年度</w:t>
      </w:r>
      <w:r>
        <w:rPr>
          <w:rFonts w:hint="default" w:ascii="Times New Roman" w:hAnsi="Times New Roman" w:eastAsia="宋体" w:cs="Times New Roman"/>
          <w:b/>
          <w:bCs/>
          <w:color w:val="auto"/>
          <w:sz w:val="48"/>
          <w:szCs w:val="48"/>
          <w:lang w:eastAsia="zh-CN"/>
        </w:rPr>
        <w:t>土壤环境质量状况报告</w:t>
      </w:r>
    </w:p>
    <w:p>
      <w:pPr>
        <w:pStyle w:val="2"/>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
          <w:color w:val="auto"/>
          <w:sz w:val="52"/>
          <w:szCs w:val="52"/>
        </w:rPr>
      </w:pPr>
    </w:p>
    <w:p>
      <w:pPr>
        <w:pStyle w:val="2"/>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
          <w:color w:val="auto"/>
          <w:sz w:val="52"/>
          <w:szCs w:val="52"/>
        </w:rPr>
      </w:pPr>
    </w:p>
    <w:p>
      <w:pPr>
        <w:pStyle w:val="2"/>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
          <w:color w:val="auto"/>
          <w:sz w:val="52"/>
          <w:szCs w:val="52"/>
        </w:rPr>
      </w:pP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color w:val="auto"/>
          <w:sz w:val="52"/>
          <w:szCs w:val="52"/>
        </w:rPr>
      </w:pPr>
    </w:p>
    <w:p>
      <w:pPr>
        <w:pStyle w:val="2"/>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
          <w:color w:val="auto"/>
          <w:sz w:val="52"/>
          <w:szCs w:val="52"/>
        </w:rPr>
      </w:pPr>
    </w:p>
    <w:p>
      <w:pPr>
        <w:pStyle w:val="2"/>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
          <w:color w:val="auto"/>
          <w:sz w:val="52"/>
          <w:szCs w:val="52"/>
        </w:rPr>
      </w:pPr>
    </w:p>
    <w:p>
      <w:pPr>
        <w:pStyle w:val="2"/>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
          <w:color w:val="auto"/>
          <w:sz w:val="52"/>
          <w:szCs w:val="52"/>
        </w:rPr>
      </w:pPr>
    </w:p>
    <w:p>
      <w:pPr>
        <w:pStyle w:val="2"/>
        <w:keepNext w:val="0"/>
        <w:keepLines w:val="0"/>
        <w:pageBreakBefore w:val="0"/>
        <w:widowControl/>
        <w:kinsoku/>
        <w:wordWrap/>
        <w:overflowPunct/>
        <w:topLinePunct w:val="0"/>
        <w:autoSpaceDE/>
        <w:autoSpaceDN/>
        <w:bidi w:val="0"/>
        <w:spacing w:line="360" w:lineRule="auto"/>
        <w:ind w:left="0" w:leftChars="0" w:firstLine="0" w:firstLineChars="0"/>
        <w:textAlignment w:val="auto"/>
        <w:rPr>
          <w:rFonts w:hint="default" w:ascii="Times New Roman" w:hAnsi="Times New Roman" w:eastAsia="宋体" w:cs="Times New Roman"/>
          <w:b/>
          <w:color w:val="auto"/>
          <w:sz w:val="52"/>
          <w:szCs w:val="52"/>
        </w:rPr>
      </w:pPr>
    </w:p>
    <w:p>
      <w:pPr>
        <w:pStyle w:val="2"/>
        <w:keepNext w:val="0"/>
        <w:keepLines w:val="0"/>
        <w:pageBreakBefore w:val="0"/>
        <w:widowControl/>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firstLine="1606" w:firstLineChars="500"/>
        <w:jc w:val="left"/>
        <w:textAlignment w:val="auto"/>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委托单位：邢台兴安液压机械有限公司</w:t>
      </w:r>
    </w:p>
    <w:p>
      <w:pPr>
        <w:keepNext w:val="0"/>
        <w:keepLines w:val="0"/>
        <w:pageBreakBefore w:val="0"/>
        <w:widowControl/>
        <w:kinsoku/>
        <w:wordWrap/>
        <w:overflowPunct/>
        <w:topLinePunct w:val="0"/>
        <w:autoSpaceDE/>
        <w:autoSpaceDN/>
        <w:bidi w:val="0"/>
        <w:adjustRightInd w:val="0"/>
        <w:snapToGrid w:val="0"/>
        <w:spacing w:after="0" w:line="360" w:lineRule="auto"/>
        <w:ind w:firstLine="1606" w:firstLineChars="500"/>
        <w:jc w:val="left"/>
        <w:textAlignment w:val="auto"/>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编制单位：河北伟诚环境工程有限公司</w:t>
      </w:r>
    </w:p>
    <w:p>
      <w:pPr>
        <w:keepNext w:val="0"/>
        <w:keepLines w:val="0"/>
        <w:pageBreakBefore w:val="0"/>
        <w:widowControl/>
        <w:kinsoku/>
        <w:wordWrap/>
        <w:overflowPunct/>
        <w:topLinePunct w:val="0"/>
        <w:autoSpaceDE/>
        <w:autoSpaceDN/>
        <w:bidi w:val="0"/>
        <w:spacing w:line="360" w:lineRule="auto"/>
        <w:ind w:left="0" w:leftChars="0" w:firstLine="1606" w:firstLineChars="500"/>
        <w:jc w:val="left"/>
        <w:textAlignment w:val="auto"/>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lang w:eastAsia="zh-CN"/>
        </w:rPr>
        <w:t>编制日期：二零一九</w:t>
      </w:r>
      <w:r>
        <w:rPr>
          <w:rFonts w:hint="default" w:ascii="Times New Roman" w:hAnsi="Times New Roman" w:eastAsia="宋体" w:cs="Times New Roman"/>
          <w:b/>
          <w:color w:val="auto"/>
          <w:sz w:val="32"/>
          <w:szCs w:val="32"/>
        </w:rPr>
        <w:t>年</w:t>
      </w:r>
      <w:r>
        <w:rPr>
          <w:rFonts w:hint="default" w:ascii="Times New Roman" w:hAnsi="Times New Roman" w:eastAsia="宋体" w:cs="Times New Roman"/>
          <w:b/>
          <w:color w:val="auto"/>
          <w:sz w:val="32"/>
          <w:szCs w:val="32"/>
          <w:lang w:val="en-US" w:eastAsia="zh-CN"/>
        </w:rPr>
        <w:t>十二</w:t>
      </w:r>
      <w:r>
        <w:rPr>
          <w:rFonts w:hint="default" w:ascii="Times New Roman" w:hAnsi="Times New Roman" w:eastAsia="宋体" w:cs="Times New Roman"/>
          <w:b/>
          <w:color w:val="auto"/>
          <w:sz w:val="32"/>
          <w:szCs w:val="32"/>
        </w:rPr>
        <w:t>月</w:t>
      </w:r>
    </w:p>
    <w:p>
      <w:pPr>
        <w:pStyle w:val="2"/>
        <w:keepNext w:val="0"/>
        <w:keepLines w:val="0"/>
        <w:pageBreakBefore w:val="0"/>
        <w:widowControl/>
        <w:kinsoku/>
        <w:wordWrap/>
        <w:overflowPunct/>
        <w:topLinePunct w:val="0"/>
        <w:autoSpaceDE/>
        <w:autoSpaceDN/>
        <w:bidi w:val="0"/>
        <w:spacing w:line="360" w:lineRule="auto"/>
        <w:ind w:firstLine="720" w:firstLineChars="300"/>
        <w:textAlignment w:val="auto"/>
        <w:rPr>
          <w:rFonts w:hint="default" w:ascii="Times New Roman" w:hAnsi="Times New Roman" w:eastAsia="宋体" w:cs="Times New Roman"/>
          <w:color w:val="auto"/>
          <w:lang w:eastAsia="zh-CN"/>
        </w:rPr>
      </w:pPr>
    </w:p>
    <w:sdt>
      <w:sdtPr>
        <w:rPr>
          <w:rFonts w:hint="default" w:ascii="Times New Roman" w:hAnsi="Times New Roman" w:eastAsia="宋体" w:cs="Times New Roman"/>
          <w:color w:val="auto"/>
          <w:sz w:val="21"/>
          <w:szCs w:val="24"/>
          <w:lang w:val="en-US" w:eastAsia="zh-CN" w:bidi="ar-SA"/>
        </w:rPr>
        <w:id w:val="147470000"/>
        <w15:color w:val="DBDBDB"/>
        <w:docPartObj>
          <w:docPartGallery w:val="Table of Contents"/>
          <w:docPartUnique/>
        </w:docPartObj>
      </w:sdtPr>
      <w:sdtEndPr>
        <w:rPr>
          <w:rFonts w:hint="default" w:ascii="Times New Roman" w:hAnsi="Times New Roman" w:eastAsia="宋体" w:cs="Times New Roman"/>
          <w:color w:val="auto"/>
          <w:sz w:val="24"/>
          <w:szCs w:val="24"/>
          <w:lang w:val="en-US" w:eastAsia="zh-CN" w:bidi="ar-SA"/>
        </w:rPr>
      </w:sdtEndPr>
      <w:sdtContent>
        <w:p>
          <w:pPr>
            <w:pageBreakBefore w:val="0"/>
            <w:kinsoku/>
            <w:wordWrap/>
            <w:overflowPunct/>
            <w:topLinePunct w:val="0"/>
            <w:bidi w:val="0"/>
            <w:spacing w:before="0" w:beforeLines="0" w:after="0" w:afterLines="0" w:line="360" w:lineRule="auto"/>
            <w:ind w:left="0" w:leftChars="0" w:right="0" w:rightChars="0" w:firstLine="0" w:firstLineChars="0"/>
            <w:jc w:val="cente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lang w:val="en-US" w:eastAsia="zh-CN"/>
            </w:rPr>
          </w:pPr>
        </w:p>
        <w:p>
          <w:pPr>
            <w:pageBreakBefore w:val="0"/>
            <w:kinsoku/>
            <w:wordWrap/>
            <w:overflowPunct/>
            <w:topLinePunct w:val="0"/>
            <w:bidi w:val="0"/>
            <w:spacing w:before="0" w:beforeLines="0" w:after="0" w:afterLines="0" w:line="360" w:lineRule="auto"/>
            <w:ind w:left="0" w:leftChars="0" w:right="0" w:rightChars="0" w:firstLine="0" w:firstLineChars="0"/>
            <w:jc w:val="center"/>
            <w:rPr>
              <w:rFonts w:hint="default" w:ascii="Times New Roman" w:hAnsi="Times New Roman" w:eastAsia="宋体" w:cs="Times New Roman"/>
              <w:b/>
              <w:bCs/>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ageBreakBefore w:val="0"/>
            <w:kinsoku/>
            <w:wordWrap/>
            <w:overflowPunct/>
            <w:topLinePunct w:val="0"/>
            <w:bidi w:val="0"/>
            <w:spacing w:before="0" w:beforeLines="0" w:after="0" w:afterLines="0" w:line="360" w:lineRule="auto"/>
            <w:ind w:left="0" w:leftChars="0" w:right="0" w:rightChars="0" w:firstLine="0" w:firstLineChars="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drawing>
              <wp:inline distT="0" distB="0" distL="114300" distR="114300">
                <wp:extent cx="5268595" cy="7444105"/>
                <wp:effectExtent l="0" t="0" r="8255" b="4445"/>
                <wp:docPr id="3" name="图片 3" descr="兴安液压专家咨询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兴安液压专家咨询意见"/>
                        <pic:cNvPicPr>
                          <a:picLocks noChangeAspect="1"/>
                        </pic:cNvPicPr>
                      </pic:nvPicPr>
                      <pic:blipFill>
                        <a:blip r:embed="rId8"/>
                        <a:stretch>
                          <a:fillRect/>
                        </a:stretch>
                      </pic:blipFill>
                      <pic:spPr>
                        <a:xfrm>
                          <a:off x="0" y="0"/>
                          <a:ext cx="5268595" cy="7444105"/>
                        </a:xfrm>
                        <a:prstGeom prst="rect">
                          <a:avLst/>
                        </a:prstGeom>
                      </pic:spPr>
                    </pic:pic>
                  </a:graphicData>
                </a:graphic>
              </wp:inline>
            </w:drawing>
          </w:r>
        </w:p>
        <w:p>
          <w:pPr>
            <w:pageBreakBefore w:val="0"/>
            <w:kinsoku/>
            <w:wordWrap/>
            <w:overflowPunct/>
            <w:topLinePunct w:val="0"/>
            <w:bidi w:val="0"/>
            <w:spacing w:before="0" w:beforeLines="0" w:after="0" w:afterLines="0" w:line="360" w:lineRule="auto"/>
            <w:ind w:left="0" w:leftChars="0" w:right="0" w:rightChars="0" w:firstLine="0" w:firstLineChars="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br w:type="page"/>
          </w:r>
        </w:p>
        <w:p>
          <w:pPr>
            <w:spacing w:before="0" w:beforeLines="-2147483648" w:after="0" w:afterLines="-2147483648" w:line="360" w:lineRule="auto"/>
            <w:ind w:left="0" w:leftChars="0" w:right="0" w:rightChars="0" w:firstLine="0" w:firstLineChars="0"/>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修改说明</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lang w:eastAsia="zh-CN"/>
            </w:rPr>
          </w:pPr>
          <w:r>
            <w:rPr>
              <w:rFonts w:hint="default" w:ascii="Times New Roman" w:hAnsi="Times New Roman" w:cs="Times New Roman"/>
              <w:b/>
              <w:bCs/>
              <w:lang w:eastAsia="zh-CN"/>
            </w:rPr>
            <w:t>专家意见</w:t>
          </w:r>
          <w:r>
            <w:rPr>
              <w:rFonts w:hint="default" w:ascii="Times New Roman" w:hAnsi="Times New Roman" w:cs="Times New Roman"/>
              <w:b/>
              <w:bCs/>
            </w:rPr>
            <w:t>1</w:t>
          </w:r>
          <w:r>
            <w:rPr>
              <w:rFonts w:hint="default" w:ascii="Times New Roman" w:hAnsi="Times New Roman" w:cs="Times New Roman"/>
              <w:b/>
              <w:bCs/>
              <w:lang w:eastAsia="zh-CN"/>
            </w:rPr>
            <w:t>：</w:t>
          </w:r>
          <w:r>
            <w:rPr>
              <w:rFonts w:hint="default" w:ascii="Times New Roman" w:hAnsi="Times New Roman" w:cs="Times New Roman"/>
              <w:b/>
              <w:bCs/>
            </w:rPr>
            <w:t>完善水文地质、土层结构等相关资料及介绍，建议增加地下水环境调查内容</w:t>
          </w:r>
          <w:r>
            <w:rPr>
              <w:rFonts w:hint="default" w:ascii="Times New Roman" w:hAnsi="Times New Roman" w:cs="Times New Roman"/>
              <w:b/>
              <w:bCs/>
              <w:lang w:eastAsia="zh-CN"/>
            </w:rPr>
            <w:t>。</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lang w:val="en-US" w:eastAsia="zh-CN"/>
            </w:rPr>
          </w:pPr>
          <w:r>
            <w:rPr>
              <w:rFonts w:hint="default" w:ascii="Times New Roman" w:hAnsi="Times New Roman" w:cs="Times New Roman"/>
              <w:lang w:eastAsia="zh-CN"/>
            </w:rPr>
            <w:t>修改情况：已按专家意见对本项目场地水文地质及土层结构等情况进行了完善，具体见</w:t>
          </w:r>
          <w:r>
            <w:rPr>
              <w:rFonts w:hint="default" w:ascii="Times New Roman" w:hAnsi="Times New Roman" w:cs="Times New Roman"/>
              <w:lang w:val="en-US" w:eastAsia="zh-CN"/>
            </w:rPr>
            <w:t>2.2.3章节；新增加地下水环境调查内容，详见第4章节地下水环境布点及第6章节结果分析。</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b/>
              <w:bCs/>
              <w:lang w:eastAsia="zh-CN"/>
            </w:rPr>
          </w:pPr>
          <w:r>
            <w:rPr>
              <w:rFonts w:hint="default" w:ascii="Times New Roman" w:hAnsi="Times New Roman" w:cs="Times New Roman"/>
              <w:b/>
              <w:bCs/>
              <w:lang w:eastAsia="zh-CN"/>
            </w:rPr>
            <w:t>专家意见</w:t>
          </w:r>
          <w:r>
            <w:rPr>
              <w:rFonts w:hint="default" w:ascii="Times New Roman" w:hAnsi="Times New Roman" w:cs="Times New Roman"/>
              <w:b/>
              <w:bCs/>
            </w:rPr>
            <w:t>2</w:t>
          </w:r>
          <w:r>
            <w:rPr>
              <w:rFonts w:hint="default" w:ascii="Times New Roman" w:hAnsi="Times New Roman" w:cs="Times New Roman"/>
              <w:b/>
              <w:bCs/>
              <w:lang w:eastAsia="zh-CN"/>
            </w:rPr>
            <w:t>：</w:t>
          </w:r>
          <w:r>
            <w:rPr>
              <w:rFonts w:hint="default" w:ascii="Times New Roman" w:hAnsi="Times New Roman" w:cs="Times New Roman"/>
              <w:b/>
              <w:bCs/>
            </w:rPr>
            <w:t>明确电镀槽、含铬废水预处理设施及污水管网等重点污染设施位置，说明其与土壤布点之间的关系和偏移原因</w:t>
          </w:r>
          <w:r>
            <w:rPr>
              <w:rFonts w:hint="default" w:ascii="Times New Roman" w:hAnsi="Times New Roman" w:cs="Times New Roman"/>
              <w:b/>
              <w:bCs/>
              <w:lang w:eastAsia="zh-CN"/>
            </w:rPr>
            <w:t>。</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lang w:val="en-US" w:eastAsia="zh-CN"/>
            </w:rPr>
          </w:pPr>
          <w:r>
            <w:rPr>
              <w:rFonts w:hint="default" w:ascii="Times New Roman" w:hAnsi="Times New Roman" w:cs="Times New Roman"/>
              <w:lang w:eastAsia="zh-CN"/>
            </w:rPr>
            <w:t>修改情况：已按专家意见对本项目场地各污染设施位置进行明确，并说明布点依据。详细见第</w:t>
          </w:r>
          <w:r>
            <w:rPr>
              <w:rFonts w:hint="default" w:ascii="Times New Roman" w:hAnsi="Times New Roman" w:cs="Times New Roman"/>
              <w:lang w:val="en-US" w:eastAsia="zh-CN"/>
            </w:rPr>
            <w:t>3章污染识别及第4章布点情况。</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b/>
              <w:bCs/>
            </w:rPr>
          </w:pPr>
          <w:r>
            <w:rPr>
              <w:rFonts w:hint="default" w:ascii="Times New Roman" w:hAnsi="Times New Roman" w:cs="Times New Roman"/>
              <w:b/>
              <w:bCs/>
              <w:lang w:eastAsia="zh-CN"/>
            </w:rPr>
            <w:t>专家意见</w:t>
          </w:r>
          <w:r>
            <w:rPr>
              <w:rFonts w:hint="default" w:ascii="Times New Roman" w:hAnsi="Times New Roman" w:cs="Times New Roman"/>
              <w:b/>
              <w:bCs/>
              <w:lang w:val="en-US" w:eastAsia="zh-CN"/>
            </w:rPr>
            <w:t>3：</w:t>
          </w:r>
          <w:r>
            <w:rPr>
              <w:rFonts w:hint="default" w:ascii="Times New Roman" w:hAnsi="Times New Roman" w:cs="Times New Roman"/>
              <w:b/>
              <w:bCs/>
            </w:rPr>
            <w:t>根据土层结构，优化土壤采样分层。</w:t>
          </w:r>
        </w:p>
        <w:p>
          <w:pPr>
            <w:spacing w:before="0" w:beforeLines="-2147483648" w:after="100" w:afterLines="-2147483648" w:afterAutospacing="1" w:line="360" w:lineRule="auto"/>
            <w:ind w:left="0" w:leftChars="0" w:right="0" w:rightChars="0" w:firstLine="0" w:firstLineChars="0"/>
            <w:jc w:val="left"/>
            <w:rPr>
              <w:rFonts w:hint="default" w:ascii="Times New Roman" w:hAnsi="Times New Roman" w:cs="Times New Roman"/>
              <w:lang w:eastAsia="zh-CN"/>
            </w:rPr>
          </w:pPr>
          <w:r>
            <w:rPr>
              <w:rFonts w:hint="default" w:ascii="Times New Roman" w:hAnsi="Times New Roman" w:cs="Times New Roman"/>
              <w:lang w:eastAsia="zh-CN"/>
            </w:rPr>
            <w:t>修改情况：本项目土壤样品的采集已按实际钻探情况进行优化分层取样，具体详见附件钻探情况。</w:t>
          </w:r>
        </w:p>
        <w:p>
          <w:pPr>
            <w:spacing w:before="0" w:beforeLines="-2147483648" w:after="0" w:afterLines="-2147483648" w:line="360" w:lineRule="auto"/>
            <w:ind w:left="0" w:leftChars="0" w:right="0" w:rightChars="0" w:firstLine="0" w:firstLineChars="0"/>
            <w:jc w:val="both"/>
            <w:rPr>
              <w:rFonts w:hint="default" w:ascii="Times New Roman" w:hAnsi="Times New Roman" w:eastAsia="宋体" w:cs="Times New Roman"/>
              <w:b/>
              <w:bCs/>
              <w:color w:val="auto"/>
              <w:sz w:val="28"/>
              <w:szCs w:val="28"/>
              <w:lang w:eastAsia="zh-CN"/>
            </w:rPr>
          </w:pPr>
        </w:p>
        <w:p>
          <w:pPr>
            <w:spacing w:before="0" w:beforeLines="-2147483648" w:after="0" w:afterLines="-2147483648" w:line="360" w:lineRule="auto"/>
            <w:ind w:left="0" w:leftChars="0" w:right="0" w:rightChars="0" w:firstLine="0" w:firstLineChars="0"/>
            <w:jc w:val="both"/>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br w:type="page"/>
          </w:r>
        </w:p>
        <w:p>
          <w:pPr>
            <w:pageBreakBefore w:val="0"/>
            <w:kinsoku/>
            <w:wordWrap/>
            <w:overflowPunct/>
            <w:topLinePunct w:val="0"/>
            <w:bidi w:val="0"/>
            <w:spacing w:before="0" w:beforeLines="0" w:after="0" w:afterLines="0" w:line="360" w:lineRule="auto"/>
            <w:ind w:left="0" w:leftChars="0" w:right="0" w:rightChars="0" w:firstLine="0" w:firstLineChars="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目录</w:t>
          </w:r>
        </w:p>
        <w:p>
          <w:pPr>
            <w:pStyle w:val="12"/>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TOC \o "1-3" \h \u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_Toc29498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1 总论</w:t>
          </w:r>
          <w:r>
            <w:tab/>
          </w:r>
          <w:r>
            <w:fldChar w:fldCharType="begin"/>
          </w:r>
          <w:r>
            <w:instrText xml:space="preserve"> PAGEREF _Toc29498 </w:instrText>
          </w:r>
          <w:r>
            <w:fldChar w:fldCharType="separate"/>
          </w:r>
          <w:r>
            <w:t>1</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_Toc5217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1.1 项目概况</w:t>
          </w:r>
          <w:r>
            <w:tab/>
          </w:r>
          <w:r>
            <w:fldChar w:fldCharType="begin"/>
          </w:r>
          <w:r>
            <w:instrText xml:space="preserve"> PAGEREF _Toc5217 </w:instrText>
          </w:r>
          <w:r>
            <w:fldChar w:fldCharType="separate"/>
          </w:r>
          <w:r>
            <w:t>1</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_Toc24120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1.2 编制依据</w:t>
          </w:r>
          <w:r>
            <w:tab/>
          </w:r>
          <w:r>
            <w:fldChar w:fldCharType="begin"/>
          </w:r>
          <w:r>
            <w:instrText xml:space="preserve"> PAGEREF _Toc24120 </w:instrText>
          </w:r>
          <w:r>
            <w:fldChar w:fldCharType="separate"/>
          </w:r>
          <w:r>
            <w:t>2</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_Toc32724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 xml:space="preserve">1.2.1 </w:t>
          </w:r>
          <w:r>
            <w:rPr>
              <w:rFonts w:hint="default" w:ascii="Times New Roman" w:hAnsi="Times New Roman" w:eastAsia="宋体" w:cs="Times New Roman"/>
              <w:szCs w:val="24"/>
            </w:rPr>
            <w:t>法律法规和政策文件</w:t>
          </w:r>
          <w:r>
            <w:tab/>
          </w:r>
          <w:r>
            <w:fldChar w:fldCharType="begin"/>
          </w:r>
          <w:r>
            <w:instrText xml:space="preserve"> PAGEREF _Toc32724 </w:instrText>
          </w:r>
          <w:r>
            <w:fldChar w:fldCharType="separate"/>
          </w:r>
          <w:r>
            <w:t>2</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_Toc18339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1.2.2 技术导则和标准规范</w:t>
          </w:r>
          <w:r>
            <w:tab/>
          </w:r>
          <w:r>
            <w:fldChar w:fldCharType="begin"/>
          </w:r>
          <w:r>
            <w:instrText xml:space="preserve"> PAGEREF _Toc18339 </w:instrText>
          </w:r>
          <w:r>
            <w:fldChar w:fldCharType="separate"/>
          </w:r>
          <w:r>
            <w:t>2</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_Toc13889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1.2.3 相关资料</w:t>
          </w:r>
          <w:r>
            <w:tab/>
          </w:r>
          <w:r>
            <w:fldChar w:fldCharType="begin"/>
          </w:r>
          <w:r>
            <w:instrText xml:space="preserve"> PAGEREF _Toc13889 </w:instrText>
          </w:r>
          <w:r>
            <w:fldChar w:fldCharType="separate"/>
          </w:r>
          <w:r>
            <w:t>3</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_Toc29819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1.3 调查范围及周边环境</w:t>
          </w:r>
          <w:r>
            <w:tab/>
          </w:r>
          <w:r>
            <w:fldChar w:fldCharType="begin"/>
          </w:r>
          <w:r>
            <w:instrText xml:space="preserve"> PAGEREF _Toc29819 </w:instrText>
          </w:r>
          <w:r>
            <w:fldChar w:fldCharType="separate"/>
          </w:r>
          <w:r>
            <w:t>3</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_Toc18175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1.3.1 调查原则</w:t>
          </w:r>
          <w:r>
            <w:tab/>
          </w:r>
          <w:r>
            <w:fldChar w:fldCharType="begin"/>
          </w:r>
          <w:r>
            <w:instrText xml:space="preserve"> PAGEREF _Toc18175 </w:instrText>
          </w:r>
          <w:r>
            <w:fldChar w:fldCharType="separate"/>
          </w:r>
          <w:r>
            <w:t>3</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_Toc25992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1.3.2 调查范围</w:t>
          </w:r>
          <w:r>
            <w:tab/>
          </w:r>
          <w:r>
            <w:fldChar w:fldCharType="begin"/>
          </w:r>
          <w:r>
            <w:instrText xml:space="preserve"> PAGEREF _Toc25992 </w:instrText>
          </w:r>
          <w:r>
            <w:fldChar w:fldCharType="separate"/>
          </w:r>
          <w:r>
            <w:t>4</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_Toc20127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1.3.3 周边环境及周边环境敏感目标</w:t>
          </w:r>
          <w:r>
            <w:tab/>
          </w:r>
          <w:r>
            <w:fldChar w:fldCharType="begin"/>
          </w:r>
          <w:r>
            <w:instrText xml:space="preserve"> PAGEREF _Toc20127 </w:instrText>
          </w:r>
          <w:r>
            <w:fldChar w:fldCharType="separate"/>
          </w:r>
          <w:r>
            <w:t>4</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_Toc28790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1.4 技术路线</w:t>
          </w:r>
          <w:r>
            <w:tab/>
          </w:r>
          <w:r>
            <w:fldChar w:fldCharType="begin"/>
          </w:r>
          <w:r>
            <w:instrText xml:space="preserve"> PAGEREF _Toc28790 </w:instrText>
          </w:r>
          <w:r>
            <w:fldChar w:fldCharType="separate"/>
          </w:r>
          <w:r>
            <w:t>6</w:t>
          </w:r>
          <w:r>
            <w:fldChar w:fldCharType="end"/>
          </w:r>
          <w:r>
            <w:rPr>
              <w:rFonts w:hint="default" w:ascii="Times New Roman" w:hAnsi="Times New Roman" w:eastAsia="宋体" w:cs="Times New Roman"/>
              <w:color w:val="auto"/>
            </w:rPr>
            <w:fldChar w:fldCharType="end"/>
          </w:r>
        </w:p>
        <w:p>
          <w:pPr>
            <w:pStyle w:val="12"/>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_Toc12812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2 区域环境概况</w:t>
          </w:r>
          <w:r>
            <w:tab/>
          </w:r>
          <w:r>
            <w:fldChar w:fldCharType="begin"/>
          </w:r>
          <w:r>
            <w:instrText xml:space="preserve"> PAGEREF _Toc12812 </w:instrText>
          </w:r>
          <w:r>
            <w:fldChar w:fldCharType="separate"/>
          </w:r>
          <w:r>
            <w:t>8</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_Toc31916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2.1 场地地理位置</w:t>
          </w:r>
          <w:r>
            <w:tab/>
          </w:r>
          <w:r>
            <w:fldChar w:fldCharType="begin"/>
          </w:r>
          <w:r>
            <w:instrText xml:space="preserve"> PAGEREF _Toc31916 </w:instrText>
          </w:r>
          <w:r>
            <w:fldChar w:fldCharType="separate"/>
          </w:r>
          <w:r>
            <w:t>8</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_Toc8338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2.2 自然环境概况</w:t>
          </w:r>
          <w:r>
            <w:tab/>
          </w:r>
          <w:r>
            <w:fldChar w:fldCharType="begin"/>
          </w:r>
          <w:r>
            <w:instrText xml:space="preserve"> PAGEREF _Toc8338 </w:instrText>
          </w:r>
          <w:r>
            <w:fldChar w:fldCharType="separate"/>
          </w:r>
          <w:r>
            <w:t>8</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_Toc21442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2.2.1 地形地貌</w:t>
          </w:r>
          <w:r>
            <w:tab/>
          </w:r>
          <w:r>
            <w:fldChar w:fldCharType="begin"/>
          </w:r>
          <w:r>
            <w:instrText xml:space="preserve"> PAGEREF _Toc21442 </w:instrText>
          </w:r>
          <w:r>
            <w:fldChar w:fldCharType="separate"/>
          </w:r>
          <w:r>
            <w:t>8</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_Toc7932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2.2.2 气候气象</w:t>
          </w:r>
          <w:r>
            <w:tab/>
          </w:r>
          <w:r>
            <w:fldChar w:fldCharType="begin"/>
          </w:r>
          <w:r>
            <w:instrText xml:space="preserve"> PAGEREF _Toc7932 </w:instrText>
          </w:r>
          <w:r>
            <w:fldChar w:fldCharType="separate"/>
          </w:r>
          <w:r>
            <w:t>9</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_Toc2717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2.2.3 水文地质</w:t>
          </w:r>
          <w:r>
            <w:tab/>
          </w:r>
          <w:r>
            <w:fldChar w:fldCharType="begin"/>
          </w:r>
          <w:r>
            <w:instrText xml:space="preserve"> PAGEREF _Toc2717 </w:instrText>
          </w:r>
          <w:r>
            <w:fldChar w:fldCharType="separate"/>
          </w:r>
          <w:r>
            <w:t>9</w:t>
          </w:r>
          <w:r>
            <w:fldChar w:fldCharType="end"/>
          </w:r>
          <w:r>
            <w:rPr>
              <w:rFonts w:hint="default" w:ascii="Times New Roman" w:hAnsi="Times New Roman" w:eastAsia="宋体" w:cs="Times New Roman"/>
              <w:color w:val="auto"/>
            </w:rPr>
            <w:fldChar w:fldCharType="end"/>
          </w:r>
        </w:p>
        <w:p>
          <w:pPr>
            <w:pStyle w:val="12"/>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_Toc11453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3 场地污染识别</w:t>
          </w:r>
          <w:r>
            <w:tab/>
          </w:r>
          <w:r>
            <w:fldChar w:fldCharType="begin"/>
          </w:r>
          <w:r>
            <w:instrText xml:space="preserve"> PAGEREF _Toc11453 </w:instrText>
          </w:r>
          <w:r>
            <w:fldChar w:fldCharType="separate"/>
          </w:r>
          <w:r>
            <w:t>16</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_Toc28800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3.1 现场调查</w:t>
          </w:r>
          <w:r>
            <w:tab/>
          </w:r>
          <w:r>
            <w:fldChar w:fldCharType="begin"/>
          </w:r>
          <w:r>
            <w:instrText xml:space="preserve"> PAGEREF _Toc28800 </w:instrText>
          </w:r>
          <w:r>
            <w:fldChar w:fldCharType="separate"/>
          </w:r>
          <w:r>
            <w:t>16</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_Toc23362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3.1.1 现场调查的工作方法与内容</w:t>
          </w:r>
          <w:r>
            <w:tab/>
          </w:r>
          <w:r>
            <w:fldChar w:fldCharType="begin"/>
          </w:r>
          <w:r>
            <w:instrText xml:space="preserve"> PAGEREF _Toc23362 </w:instrText>
          </w:r>
          <w:r>
            <w:fldChar w:fldCharType="separate"/>
          </w:r>
          <w:r>
            <w:t>16</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_Toc7056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3.1.2 现场调查的工作过程</w:t>
          </w:r>
          <w:r>
            <w:tab/>
          </w:r>
          <w:r>
            <w:fldChar w:fldCharType="begin"/>
          </w:r>
          <w:r>
            <w:instrText xml:space="preserve"> PAGEREF _Toc7056 </w:instrText>
          </w:r>
          <w:r>
            <w:fldChar w:fldCharType="separate"/>
          </w:r>
          <w:r>
            <w:t>16</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_Toc12501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3.1.3 功能区布设</w:t>
          </w:r>
          <w:r>
            <w:tab/>
          </w:r>
          <w:r>
            <w:fldChar w:fldCharType="begin"/>
          </w:r>
          <w:r>
            <w:instrText xml:space="preserve"> PAGEREF _Toc12501 </w:instrText>
          </w:r>
          <w:r>
            <w:fldChar w:fldCharType="separate"/>
          </w:r>
          <w:r>
            <w:t>18</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_Toc9893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3.2 生产工艺及污染物排放情况</w:t>
          </w:r>
          <w:r>
            <w:tab/>
          </w:r>
          <w:r>
            <w:fldChar w:fldCharType="begin"/>
          </w:r>
          <w:r>
            <w:instrText xml:space="preserve"> PAGEREF _Toc9893 </w:instrText>
          </w:r>
          <w:r>
            <w:fldChar w:fldCharType="separate"/>
          </w:r>
          <w:r>
            <w:t>19</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_Toc15306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3.2.1 原辅材料</w:t>
          </w:r>
          <w:r>
            <w:tab/>
          </w:r>
          <w:r>
            <w:fldChar w:fldCharType="begin"/>
          </w:r>
          <w:r>
            <w:instrText xml:space="preserve"> PAGEREF _Toc15306 </w:instrText>
          </w:r>
          <w:r>
            <w:fldChar w:fldCharType="separate"/>
          </w:r>
          <w:r>
            <w:t>19</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_Toc4691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3.2.2 生产工艺</w:t>
          </w:r>
          <w:r>
            <w:tab/>
          </w:r>
          <w:r>
            <w:fldChar w:fldCharType="begin"/>
          </w:r>
          <w:r>
            <w:instrText xml:space="preserve"> PAGEREF _Toc4691 </w:instrText>
          </w:r>
          <w:r>
            <w:fldChar w:fldCharType="separate"/>
          </w:r>
          <w:r>
            <w:t>21</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_Toc8126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3.2.3 排污节点</w:t>
          </w:r>
          <w:r>
            <w:tab/>
          </w:r>
          <w:r>
            <w:fldChar w:fldCharType="begin"/>
          </w:r>
          <w:r>
            <w:instrText xml:space="preserve"> PAGEREF _Toc8126 </w:instrText>
          </w:r>
          <w:r>
            <w:fldChar w:fldCharType="separate"/>
          </w:r>
          <w:r>
            <w:t>24</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_Toc2965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3.3 污水处理</w:t>
          </w:r>
          <w:r>
            <w:tab/>
          </w:r>
          <w:r>
            <w:fldChar w:fldCharType="begin"/>
          </w:r>
          <w:r>
            <w:instrText xml:space="preserve"> PAGEREF _Toc2965 </w:instrText>
          </w:r>
          <w:r>
            <w:fldChar w:fldCharType="separate"/>
          </w:r>
          <w:r>
            <w:t>25</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_Toc30265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3.4 历史突发环境事件调查</w:t>
          </w:r>
          <w:r>
            <w:tab/>
          </w:r>
          <w:r>
            <w:fldChar w:fldCharType="begin"/>
          </w:r>
          <w:r>
            <w:instrText xml:space="preserve"> PAGEREF _Toc30265 </w:instrText>
          </w:r>
          <w:r>
            <w:fldChar w:fldCharType="separate"/>
          </w:r>
          <w:r>
            <w:t>27</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_Toc11395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3.5 潜在污染区域及污染物识别</w:t>
          </w:r>
          <w:r>
            <w:tab/>
          </w:r>
          <w:r>
            <w:fldChar w:fldCharType="begin"/>
          </w:r>
          <w:r>
            <w:instrText xml:space="preserve"> PAGEREF _Toc11395 </w:instrText>
          </w:r>
          <w:r>
            <w:fldChar w:fldCharType="separate"/>
          </w:r>
          <w:r>
            <w:t>27</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_Toc25841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3.5.1 潜在污染区域筛选</w:t>
          </w:r>
          <w:r>
            <w:tab/>
          </w:r>
          <w:r>
            <w:fldChar w:fldCharType="begin"/>
          </w:r>
          <w:r>
            <w:instrText xml:space="preserve"> PAGEREF _Toc25841 </w:instrText>
          </w:r>
          <w:r>
            <w:fldChar w:fldCharType="separate"/>
          </w:r>
          <w:r>
            <w:t>27</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_Toc12276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3.5.2 潜在特征污染物识别</w:t>
          </w:r>
          <w:r>
            <w:tab/>
          </w:r>
          <w:r>
            <w:fldChar w:fldCharType="begin"/>
          </w:r>
          <w:r>
            <w:instrText xml:space="preserve"> PAGEREF _Toc12276 </w:instrText>
          </w:r>
          <w:r>
            <w:fldChar w:fldCharType="separate"/>
          </w:r>
          <w:r>
            <w:t>28</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_Toc8055 </w:instrText>
          </w:r>
          <w:r>
            <w:rPr>
              <w:rFonts w:hint="default" w:ascii="Times New Roman" w:hAnsi="Times New Roman" w:eastAsia="宋体" w:cs="Times New Roman"/>
            </w:rPr>
            <w:fldChar w:fldCharType="separate"/>
          </w:r>
          <w:r>
            <w:rPr>
              <w:rFonts w:hint="default" w:ascii="Times New Roman" w:hAnsi="Times New Roman" w:cs="Times New Roman"/>
            </w:rPr>
            <w:t>3.</w:t>
          </w:r>
          <w:r>
            <w:rPr>
              <w:rFonts w:hint="default" w:ascii="Times New Roman" w:hAnsi="Times New Roman" w:cs="Times New Roman"/>
              <w:lang w:val="en-US" w:eastAsia="zh-CN"/>
            </w:rPr>
            <w:t>6</w:t>
          </w:r>
          <w:r>
            <w:rPr>
              <w:rFonts w:hint="default" w:ascii="Times New Roman" w:hAnsi="Times New Roman" w:cs="Times New Roman"/>
            </w:rPr>
            <w:t xml:space="preserve"> 场地周边</w:t>
          </w:r>
          <w:r>
            <w:rPr>
              <w:rFonts w:hint="default" w:ascii="Times New Roman" w:hAnsi="Times New Roman" w:cs="Times New Roman"/>
              <w:lang w:eastAsia="zh-CN"/>
            </w:rPr>
            <w:t>区域</w:t>
          </w:r>
          <w:r>
            <w:rPr>
              <w:rFonts w:hint="default" w:ascii="Times New Roman" w:hAnsi="Times New Roman" w:cs="Times New Roman"/>
            </w:rPr>
            <w:t>污染识别</w:t>
          </w:r>
          <w:r>
            <w:tab/>
          </w:r>
          <w:r>
            <w:fldChar w:fldCharType="begin"/>
          </w:r>
          <w:r>
            <w:instrText xml:space="preserve"> PAGEREF _Toc8055 </w:instrText>
          </w:r>
          <w:r>
            <w:fldChar w:fldCharType="separate"/>
          </w:r>
          <w:r>
            <w:t>29</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_Toc5887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3.7场地污染识别小结</w:t>
          </w:r>
          <w:r>
            <w:tab/>
          </w:r>
          <w:r>
            <w:fldChar w:fldCharType="begin"/>
          </w:r>
          <w:r>
            <w:instrText xml:space="preserve"> PAGEREF _Toc5887 </w:instrText>
          </w:r>
          <w:r>
            <w:fldChar w:fldCharType="separate"/>
          </w:r>
          <w:r>
            <w:t>30</w:t>
          </w:r>
          <w:r>
            <w:fldChar w:fldCharType="end"/>
          </w:r>
          <w:r>
            <w:rPr>
              <w:rFonts w:hint="default" w:ascii="Times New Roman" w:hAnsi="Times New Roman" w:eastAsia="宋体" w:cs="Times New Roman"/>
              <w:color w:val="auto"/>
            </w:rPr>
            <w:fldChar w:fldCharType="end"/>
          </w:r>
        </w:p>
        <w:p>
          <w:pPr>
            <w:pStyle w:val="12"/>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_Toc30497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4 勘探采样与检测分析</w:t>
          </w:r>
          <w:r>
            <w:tab/>
          </w:r>
          <w:r>
            <w:fldChar w:fldCharType="begin"/>
          </w:r>
          <w:r>
            <w:instrText xml:space="preserve"> PAGEREF _Toc30497 </w:instrText>
          </w:r>
          <w:r>
            <w:fldChar w:fldCharType="separate"/>
          </w:r>
          <w:r>
            <w:t>32</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_Toc30648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4.1 布点区域筛选</w:t>
          </w:r>
          <w:r>
            <w:tab/>
          </w:r>
          <w:r>
            <w:fldChar w:fldCharType="begin"/>
          </w:r>
          <w:r>
            <w:instrText xml:space="preserve"> PAGEREF _Toc30648 </w:instrText>
          </w:r>
          <w:r>
            <w:fldChar w:fldCharType="separate"/>
          </w:r>
          <w:r>
            <w:t>32</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_Toc29547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4.1.1 土壤布点区域筛选</w:t>
          </w:r>
          <w:r>
            <w:tab/>
          </w:r>
          <w:r>
            <w:fldChar w:fldCharType="begin"/>
          </w:r>
          <w:r>
            <w:instrText xml:space="preserve"> PAGEREF _Toc29547 </w:instrText>
          </w:r>
          <w:r>
            <w:fldChar w:fldCharType="separate"/>
          </w:r>
          <w:r>
            <w:t>32</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_Toc9884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4.1.2 地下水布点区域筛选</w:t>
          </w:r>
          <w:r>
            <w:tab/>
          </w:r>
          <w:r>
            <w:fldChar w:fldCharType="begin"/>
          </w:r>
          <w:r>
            <w:instrText xml:space="preserve"> PAGEREF _Toc9884 </w:instrText>
          </w:r>
          <w:r>
            <w:fldChar w:fldCharType="separate"/>
          </w:r>
          <w:r>
            <w:t>33</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_Toc32286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4.2 勘探采样与检测分析</w:t>
          </w:r>
          <w:r>
            <w:tab/>
          </w:r>
          <w:r>
            <w:fldChar w:fldCharType="begin"/>
          </w:r>
          <w:r>
            <w:instrText xml:space="preserve"> PAGEREF _Toc32286 </w:instrText>
          </w:r>
          <w:r>
            <w:fldChar w:fldCharType="separate"/>
          </w:r>
          <w:r>
            <w:t>34</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_Toc14467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4.2.1 采样点信息</w:t>
          </w:r>
          <w:r>
            <w:tab/>
          </w:r>
          <w:r>
            <w:fldChar w:fldCharType="begin"/>
          </w:r>
          <w:r>
            <w:instrText xml:space="preserve"> PAGEREF _Toc14467 </w:instrText>
          </w:r>
          <w:r>
            <w:fldChar w:fldCharType="separate"/>
          </w:r>
          <w:r>
            <w:t>34</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_Toc18949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4.2.2 采样过程</w:t>
          </w:r>
          <w:r>
            <w:tab/>
          </w:r>
          <w:r>
            <w:fldChar w:fldCharType="begin"/>
          </w:r>
          <w:r>
            <w:instrText xml:space="preserve"> PAGEREF _Toc18949 </w:instrText>
          </w:r>
          <w:r>
            <w:fldChar w:fldCharType="separate"/>
          </w:r>
          <w:r>
            <w:t>38</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_Toc2331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4.2.3 样品保存与流转</w:t>
          </w:r>
          <w:r>
            <w:tab/>
          </w:r>
          <w:r>
            <w:fldChar w:fldCharType="begin"/>
          </w:r>
          <w:r>
            <w:instrText xml:space="preserve"> PAGEREF _Toc2331 </w:instrText>
          </w:r>
          <w:r>
            <w:fldChar w:fldCharType="separate"/>
          </w:r>
          <w:r>
            <w:t>42</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_Toc4089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4.2.4 样品分析</w:t>
          </w:r>
          <w:r>
            <w:tab/>
          </w:r>
          <w:r>
            <w:fldChar w:fldCharType="begin"/>
          </w:r>
          <w:r>
            <w:instrText xml:space="preserve"> PAGEREF _Toc4089 </w:instrText>
          </w:r>
          <w:r>
            <w:fldChar w:fldCharType="separate"/>
          </w:r>
          <w:r>
            <w:t>44</w:t>
          </w:r>
          <w:r>
            <w:fldChar w:fldCharType="end"/>
          </w:r>
          <w:r>
            <w:rPr>
              <w:rFonts w:hint="default" w:ascii="Times New Roman" w:hAnsi="Times New Roman" w:eastAsia="宋体" w:cs="Times New Roman"/>
              <w:color w:val="auto"/>
            </w:rPr>
            <w:fldChar w:fldCharType="end"/>
          </w:r>
        </w:p>
        <w:p>
          <w:pPr>
            <w:pStyle w:val="12"/>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_Toc4657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5 质量保证与质量控制（QA/QC）</w:t>
          </w:r>
          <w:r>
            <w:tab/>
          </w:r>
          <w:r>
            <w:fldChar w:fldCharType="begin"/>
          </w:r>
          <w:r>
            <w:instrText xml:space="preserve"> PAGEREF _Toc4657 </w:instrText>
          </w:r>
          <w:r>
            <w:fldChar w:fldCharType="separate"/>
          </w:r>
          <w:r>
            <w:t>50</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_Toc23938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5.1 质量保证</w:t>
          </w:r>
          <w:r>
            <w:tab/>
          </w:r>
          <w:r>
            <w:fldChar w:fldCharType="begin"/>
          </w:r>
          <w:r>
            <w:instrText xml:space="preserve"> PAGEREF _Toc23938 </w:instrText>
          </w:r>
          <w:r>
            <w:fldChar w:fldCharType="separate"/>
          </w:r>
          <w:r>
            <w:t>50</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_Toc600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5.1.1 采样现场质量保证</w:t>
          </w:r>
          <w:r>
            <w:tab/>
          </w:r>
          <w:r>
            <w:fldChar w:fldCharType="begin"/>
          </w:r>
          <w:r>
            <w:instrText xml:space="preserve"> PAGEREF _Toc600 </w:instrText>
          </w:r>
          <w:r>
            <w:fldChar w:fldCharType="separate"/>
          </w:r>
          <w:r>
            <w:t>50</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_Toc18793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5.1.2 样品保存及流转质量保证</w:t>
          </w:r>
          <w:r>
            <w:tab/>
          </w:r>
          <w:r>
            <w:fldChar w:fldCharType="begin"/>
          </w:r>
          <w:r>
            <w:instrText xml:space="preserve"> PAGEREF _Toc18793 </w:instrText>
          </w:r>
          <w:r>
            <w:fldChar w:fldCharType="separate"/>
          </w:r>
          <w:r>
            <w:t>51</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_Toc13740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5.2 质量控制</w:t>
          </w:r>
          <w:r>
            <w:tab/>
          </w:r>
          <w:r>
            <w:fldChar w:fldCharType="begin"/>
          </w:r>
          <w:r>
            <w:instrText xml:space="preserve"> PAGEREF _Toc13740 </w:instrText>
          </w:r>
          <w:r>
            <w:fldChar w:fldCharType="separate"/>
          </w:r>
          <w:r>
            <w:t>52</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_Toc17899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5.2.1 采样现场质量控制</w:t>
          </w:r>
          <w:r>
            <w:tab/>
          </w:r>
          <w:r>
            <w:fldChar w:fldCharType="begin"/>
          </w:r>
          <w:r>
            <w:instrText xml:space="preserve"> PAGEREF _Toc17899 </w:instrText>
          </w:r>
          <w:r>
            <w:fldChar w:fldCharType="separate"/>
          </w:r>
          <w:r>
            <w:t>52</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_Toc2499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5.2.2 样品流转质量控制</w:t>
          </w:r>
          <w:r>
            <w:tab/>
          </w:r>
          <w:r>
            <w:fldChar w:fldCharType="begin"/>
          </w:r>
          <w:r>
            <w:instrText xml:space="preserve"> PAGEREF _Toc2499 </w:instrText>
          </w:r>
          <w:r>
            <w:fldChar w:fldCharType="separate"/>
          </w:r>
          <w:r>
            <w:t>55</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_Toc17773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5.2.3 实验室内部质量控制</w:t>
          </w:r>
          <w:r>
            <w:tab/>
          </w:r>
          <w:r>
            <w:fldChar w:fldCharType="begin"/>
          </w:r>
          <w:r>
            <w:instrText xml:space="preserve"> PAGEREF _Toc17773 </w:instrText>
          </w:r>
          <w:r>
            <w:fldChar w:fldCharType="separate"/>
          </w:r>
          <w:r>
            <w:t>55</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_Toc3592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5.2.4质量控制与质量管理结论</w:t>
          </w:r>
          <w:r>
            <w:tab/>
          </w:r>
          <w:r>
            <w:fldChar w:fldCharType="begin"/>
          </w:r>
          <w:r>
            <w:instrText xml:space="preserve"> PAGEREF _Toc3592 </w:instrText>
          </w:r>
          <w:r>
            <w:fldChar w:fldCharType="separate"/>
          </w:r>
          <w:r>
            <w:t>61</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_Toc19935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5.3 现场安全防护与应急处理</w:t>
          </w:r>
          <w:r>
            <w:tab/>
          </w:r>
          <w:r>
            <w:fldChar w:fldCharType="begin"/>
          </w:r>
          <w:r>
            <w:instrText xml:space="preserve"> PAGEREF _Toc19935 </w:instrText>
          </w:r>
          <w:r>
            <w:fldChar w:fldCharType="separate"/>
          </w:r>
          <w:r>
            <w:t>62</w:t>
          </w:r>
          <w:r>
            <w:fldChar w:fldCharType="end"/>
          </w:r>
          <w:r>
            <w:rPr>
              <w:rFonts w:hint="default" w:ascii="Times New Roman" w:hAnsi="Times New Roman" w:eastAsia="宋体" w:cs="Times New Roman"/>
              <w:color w:val="auto"/>
            </w:rPr>
            <w:fldChar w:fldCharType="end"/>
          </w:r>
        </w:p>
        <w:p>
          <w:pPr>
            <w:pStyle w:val="12"/>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_Toc23572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6 检测结果的评估</w:t>
          </w:r>
          <w:r>
            <w:tab/>
          </w:r>
          <w:r>
            <w:fldChar w:fldCharType="begin"/>
          </w:r>
          <w:r>
            <w:instrText xml:space="preserve"> PAGEREF _Toc23572 </w:instrText>
          </w:r>
          <w:r>
            <w:fldChar w:fldCharType="separate"/>
          </w:r>
          <w:r>
            <w:t>63</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_Toc14387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6.1 数据统计过程</w:t>
          </w:r>
          <w:r>
            <w:tab/>
          </w:r>
          <w:r>
            <w:fldChar w:fldCharType="begin"/>
          </w:r>
          <w:r>
            <w:instrText xml:space="preserve"> PAGEREF _Toc14387 </w:instrText>
          </w:r>
          <w:r>
            <w:fldChar w:fldCharType="separate"/>
          </w:r>
          <w:r>
            <w:t>63</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_Toc32716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6.2 检测结果分析</w:t>
          </w:r>
          <w:r>
            <w:tab/>
          </w:r>
          <w:r>
            <w:fldChar w:fldCharType="begin"/>
          </w:r>
          <w:r>
            <w:instrText xml:space="preserve"> PAGEREF _Toc32716 </w:instrText>
          </w:r>
          <w:r>
            <w:fldChar w:fldCharType="separate"/>
          </w:r>
          <w:r>
            <w:t>63</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_Toc1171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6.2.1 土壤检测结果筛选依据</w:t>
          </w:r>
          <w:r>
            <w:tab/>
          </w:r>
          <w:r>
            <w:fldChar w:fldCharType="begin"/>
          </w:r>
          <w:r>
            <w:instrText xml:space="preserve"> PAGEREF _Toc1171 </w:instrText>
          </w:r>
          <w:r>
            <w:fldChar w:fldCharType="separate"/>
          </w:r>
          <w:r>
            <w:t>63</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_Toc21819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6.2.2 地下水检测结果筛选依据</w:t>
          </w:r>
          <w:r>
            <w:tab/>
          </w:r>
          <w:r>
            <w:fldChar w:fldCharType="begin"/>
          </w:r>
          <w:r>
            <w:instrText xml:space="preserve"> PAGEREF _Toc21819 </w:instrText>
          </w:r>
          <w:r>
            <w:fldChar w:fldCharType="separate"/>
          </w:r>
          <w:r>
            <w:t>64</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_Toc12601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6.3 检测结果及统计情况</w:t>
          </w:r>
          <w:r>
            <w:tab/>
          </w:r>
          <w:r>
            <w:fldChar w:fldCharType="begin"/>
          </w:r>
          <w:r>
            <w:instrText xml:space="preserve"> PAGEREF _Toc12601 </w:instrText>
          </w:r>
          <w:r>
            <w:fldChar w:fldCharType="separate"/>
          </w:r>
          <w:r>
            <w:t>65</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_Toc12941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6.3.1 土壤检测结果及统计情况</w:t>
          </w:r>
          <w:r>
            <w:tab/>
          </w:r>
          <w:r>
            <w:fldChar w:fldCharType="begin"/>
          </w:r>
          <w:r>
            <w:instrText xml:space="preserve"> PAGEREF _Toc12941 </w:instrText>
          </w:r>
          <w:r>
            <w:fldChar w:fldCharType="separate"/>
          </w:r>
          <w:r>
            <w:t>65</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_Toc12567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6.3.2 地下水检测结果及统计情况</w:t>
          </w:r>
          <w:r>
            <w:tab/>
          </w:r>
          <w:r>
            <w:fldChar w:fldCharType="begin"/>
          </w:r>
          <w:r>
            <w:instrText xml:space="preserve"> PAGEREF _Toc12567 </w:instrText>
          </w:r>
          <w:r>
            <w:fldChar w:fldCharType="separate"/>
          </w:r>
          <w:r>
            <w:t>71</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_Toc9878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6.4 检测结果评价</w:t>
          </w:r>
          <w:r>
            <w:tab/>
          </w:r>
          <w:r>
            <w:fldChar w:fldCharType="begin"/>
          </w:r>
          <w:r>
            <w:instrText xml:space="preserve"> PAGEREF _Toc9878 </w:instrText>
          </w:r>
          <w:r>
            <w:fldChar w:fldCharType="separate"/>
          </w:r>
          <w:r>
            <w:t>73</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_Toc18610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6.4.1 土壤检测结果评价</w:t>
          </w:r>
          <w:r>
            <w:tab/>
          </w:r>
          <w:r>
            <w:fldChar w:fldCharType="begin"/>
          </w:r>
          <w:r>
            <w:instrText xml:space="preserve"> PAGEREF _Toc18610 </w:instrText>
          </w:r>
          <w:r>
            <w:fldChar w:fldCharType="separate"/>
          </w:r>
          <w:r>
            <w:t>73</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_Toc6338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6.4.2 地下水检测结果评价</w:t>
          </w:r>
          <w:r>
            <w:tab/>
          </w:r>
          <w:r>
            <w:fldChar w:fldCharType="begin"/>
          </w:r>
          <w:r>
            <w:instrText xml:space="preserve"> PAGEREF _Toc6338 </w:instrText>
          </w:r>
          <w:r>
            <w:fldChar w:fldCharType="separate"/>
          </w:r>
          <w:r>
            <w:t>73</w:t>
          </w:r>
          <w:r>
            <w:fldChar w:fldCharType="end"/>
          </w:r>
          <w:r>
            <w:rPr>
              <w:rFonts w:hint="default" w:ascii="Times New Roman" w:hAnsi="Times New Roman" w:eastAsia="宋体" w:cs="Times New Roman"/>
              <w:color w:val="auto"/>
            </w:rPr>
            <w:fldChar w:fldCharType="end"/>
          </w:r>
        </w:p>
        <w:p>
          <w:pPr>
            <w:pStyle w:val="12"/>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_Toc2779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0"/>
              <w:lang w:val="en-US" w:eastAsia="zh-CN"/>
            </w:rPr>
            <w:t>7 结论与建议</w:t>
          </w:r>
          <w:r>
            <w:tab/>
          </w:r>
          <w:r>
            <w:fldChar w:fldCharType="begin"/>
          </w:r>
          <w:r>
            <w:instrText xml:space="preserve"> PAGEREF _Toc2779 </w:instrText>
          </w:r>
          <w:r>
            <w:fldChar w:fldCharType="separate"/>
          </w:r>
          <w:r>
            <w:t>74</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_Toc15719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7.1 调查结论</w:t>
          </w:r>
          <w:r>
            <w:tab/>
          </w:r>
          <w:r>
            <w:fldChar w:fldCharType="begin"/>
          </w:r>
          <w:r>
            <w:instrText xml:space="preserve"> PAGEREF _Toc15719 </w:instrText>
          </w:r>
          <w:r>
            <w:fldChar w:fldCharType="separate"/>
          </w:r>
          <w:r>
            <w:t>74</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_Toc15403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7.1.1 企业概况</w:t>
          </w:r>
          <w:r>
            <w:tab/>
          </w:r>
          <w:r>
            <w:fldChar w:fldCharType="begin"/>
          </w:r>
          <w:r>
            <w:instrText xml:space="preserve"> PAGEREF _Toc15403 </w:instrText>
          </w:r>
          <w:r>
            <w:fldChar w:fldCharType="separate"/>
          </w:r>
          <w:r>
            <w:t>74</w:t>
          </w:r>
          <w:r>
            <w:fldChar w:fldCharType="end"/>
          </w:r>
          <w:r>
            <w:rPr>
              <w:rFonts w:hint="default" w:ascii="Times New Roman" w:hAnsi="Times New Roman" w:eastAsia="宋体" w:cs="Times New Roman"/>
              <w:color w:val="auto"/>
            </w:rPr>
            <w:fldChar w:fldCharType="end"/>
          </w:r>
        </w:p>
        <w:p>
          <w:pPr>
            <w:pStyle w:val="8"/>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_Toc10707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7.1.2 企业土壤及地下水环境质量状况</w:t>
          </w:r>
          <w:r>
            <w:tab/>
          </w:r>
          <w:r>
            <w:fldChar w:fldCharType="begin"/>
          </w:r>
          <w:r>
            <w:instrText xml:space="preserve"> PAGEREF _Toc10707 </w:instrText>
          </w:r>
          <w:r>
            <w:fldChar w:fldCharType="separate"/>
          </w:r>
          <w:r>
            <w:t>74</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_Toc23409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7.2 调查评估不确定性分析</w:t>
          </w:r>
          <w:r>
            <w:tab/>
          </w:r>
          <w:r>
            <w:fldChar w:fldCharType="begin"/>
          </w:r>
          <w:r>
            <w:instrText xml:space="preserve"> PAGEREF _Toc23409 </w:instrText>
          </w:r>
          <w:r>
            <w:fldChar w:fldCharType="separate"/>
          </w:r>
          <w:r>
            <w:t>74</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_Toc28037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7</w:t>
          </w:r>
          <w:r>
            <w:rPr>
              <w:rFonts w:hint="default" w:ascii="Times New Roman" w:hAnsi="Times New Roman" w:eastAsia="宋体" w:cs="Times New Roman"/>
              <w:szCs w:val="28"/>
              <w:lang w:val="en-US" w:eastAsia="zh-CN"/>
            </w:rPr>
            <w:t>.3 建议</w:t>
          </w:r>
          <w:r>
            <w:tab/>
          </w:r>
          <w:r>
            <w:fldChar w:fldCharType="begin"/>
          </w:r>
          <w:r>
            <w:instrText xml:space="preserve"> PAGEREF _Toc28037 </w:instrText>
          </w:r>
          <w:r>
            <w:fldChar w:fldCharType="separate"/>
          </w:r>
          <w:r>
            <w:t>75</w:t>
          </w:r>
          <w:r>
            <w:fldChar w:fldCharType="end"/>
          </w:r>
          <w:r>
            <w:rPr>
              <w:rFonts w:hint="default" w:ascii="Times New Roman" w:hAnsi="Times New Roman" w:eastAsia="宋体" w:cs="Times New Roman"/>
              <w:color w:val="auto"/>
            </w:rPr>
            <w:fldChar w:fldCharType="end"/>
          </w:r>
        </w:p>
        <w:p>
          <w:pPr>
            <w:pStyle w:val="12"/>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_Toc15982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 xml:space="preserve">附件1 </w:t>
          </w:r>
          <w:r>
            <w:rPr>
              <w:rFonts w:hint="default" w:ascii="Times New Roman" w:hAnsi="Times New Roman" w:cs="Times New Roman"/>
            </w:rPr>
            <w:t>特征因子</w:t>
          </w:r>
          <w:r>
            <w:rPr>
              <w:rFonts w:hint="default" w:ascii="Times New Roman" w:hAnsi="Times New Roman" w:cs="Times New Roman"/>
              <w:lang w:eastAsia="zh-CN"/>
            </w:rPr>
            <w:t>锌</w:t>
          </w:r>
          <w:r>
            <w:rPr>
              <w:rFonts w:hint="default" w:ascii="Times New Roman" w:hAnsi="Times New Roman" w:cs="Times New Roman"/>
            </w:rPr>
            <w:t>土壤污染风险筛选值的计算</w:t>
          </w:r>
          <w:r>
            <w:tab/>
          </w:r>
          <w:r>
            <w:fldChar w:fldCharType="begin"/>
          </w:r>
          <w:r>
            <w:instrText xml:space="preserve"> PAGEREF _Toc15982 </w:instrText>
          </w:r>
          <w:r>
            <w:fldChar w:fldCharType="separate"/>
          </w:r>
          <w:r>
            <w:t>76</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_Toc627 </w:instrText>
          </w:r>
          <w:r>
            <w:rPr>
              <w:rFonts w:hint="default" w:ascii="Times New Roman" w:hAnsi="Times New Roman" w:eastAsia="宋体" w:cs="Times New Roman"/>
            </w:rPr>
            <w:fldChar w:fldCharType="separate"/>
          </w:r>
          <w:r>
            <w:rPr>
              <w:rFonts w:hint="default" w:ascii="Times New Roman" w:hAnsi="Times New Roman" w:cs="Times New Roman"/>
            </w:rPr>
            <w:t>1 特征因子</w:t>
          </w:r>
          <w:r>
            <w:rPr>
              <w:rFonts w:hint="default" w:ascii="Times New Roman" w:hAnsi="Times New Roman" w:cs="Times New Roman"/>
              <w:lang w:eastAsia="zh-CN"/>
            </w:rPr>
            <w:t>锌简介</w:t>
          </w:r>
          <w:r>
            <w:tab/>
          </w:r>
          <w:r>
            <w:fldChar w:fldCharType="begin"/>
          </w:r>
          <w:r>
            <w:instrText xml:space="preserve"> PAGEREF _Toc627 </w:instrText>
          </w:r>
          <w:r>
            <w:fldChar w:fldCharType="separate"/>
          </w:r>
          <w:r>
            <w:t>76</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_Toc28052 </w:instrText>
          </w:r>
          <w:r>
            <w:rPr>
              <w:rFonts w:hint="default" w:ascii="Times New Roman" w:hAnsi="Times New Roman" w:eastAsia="宋体" w:cs="Times New Roman"/>
            </w:rPr>
            <w:fldChar w:fldCharType="separate"/>
          </w:r>
          <w:r>
            <w:rPr>
              <w:rFonts w:hint="default" w:ascii="Times New Roman" w:hAnsi="Times New Roman" w:cs="Times New Roman"/>
            </w:rPr>
            <w:t>2 暴露情景</w:t>
          </w:r>
          <w:r>
            <w:tab/>
          </w:r>
          <w:r>
            <w:fldChar w:fldCharType="begin"/>
          </w:r>
          <w:r>
            <w:instrText xml:space="preserve"> PAGEREF _Toc28052 </w:instrText>
          </w:r>
          <w:r>
            <w:fldChar w:fldCharType="separate"/>
          </w:r>
          <w:r>
            <w:t>76</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_Toc13394 </w:instrText>
          </w:r>
          <w:r>
            <w:rPr>
              <w:rFonts w:hint="default" w:ascii="Times New Roman" w:hAnsi="Times New Roman" w:eastAsia="宋体" w:cs="Times New Roman"/>
            </w:rPr>
            <w:fldChar w:fldCharType="separate"/>
          </w:r>
          <w:r>
            <w:rPr>
              <w:rFonts w:hint="default" w:ascii="Times New Roman" w:hAnsi="Times New Roman" w:cs="Times New Roman"/>
            </w:rPr>
            <w:t>3 筛选值的计算</w:t>
          </w:r>
          <w:r>
            <w:tab/>
          </w:r>
          <w:r>
            <w:fldChar w:fldCharType="begin"/>
          </w:r>
          <w:r>
            <w:instrText xml:space="preserve"> PAGEREF _Toc13394 </w:instrText>
          </w:r>
          <w:r>
            <w:fldChar w:fldCharType="separate"/>
          </w:r>
          <w:r>
            <w:t>76</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_Toc32423 </w:instrText>
          </w:r>
          <w:r>
            <w:rPr>
              <w:rFonts w:hint="default" w:ascii="Times New Roman" w:hAnsi="Times New Roman" w:eastAsia="宋体" w:cs="Times New Roman"/>
            </w:rPr>
            <w:fldChar w:fldCharType="separate"/>
          </w:r>
          <w:r>
            <w:rPr>
              <w:rFonts w:hint="default" w:ascii="Times New Roman" w:hAnsi="Times New Roman" w:cs="Times New Roman"/>
            </w:rPr>
            <w:t>4 暴露模型参数</w:t>
          </w:r>
          <w:r>
            <w:tab/>
          </w:r>
          <w:r>
            <w:fldChar w:fldCharType="begin"/>
          </w:r>
          <w:r>
            <w:instrText xml:space="preserve"> PAGEREF _Toc32423 </w:instrText>
          </w:r>
          <w:r>
            <w:fldChar w:fldCharType="separate"/>
          </w:r>
          <w:r>
            <w:t>77</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_Toc24368 </w:instrText>
          </w:r>
          <w:r>
            <w:rPr>
              <w:rFonts w:hint="default" w:ascii="Times New Roman" w:hAnsi="Times New Roman" w:eastAsia="宋体" w:cs="Times New Roman"/>
            </w:rPr>
            <w:fldChar w:fldCharType="separate"/>
          </w:r>
          <w:r>
            <w:rPr>
              <w:rFonts w:hint="default" w:ascii="Times New Roman" w:hAnsi="Times New Roman" w:cs="Times New Roman"/>
            </w:rPr>
            <w:t>5 污染物性质参数</w:t>
          </w:r>
          <w:r>
            <w:tab/>
          </w:r>
          <w:r>
            <w:fldChar w:fldCharType="begin"/>
          </w:r>
          <w:r>
            <w:instrText xml:space="preserve"> PAGEREF _Toc24368 </w:instrText>
          </w:r>
          <w:r>
            <w:fldChar w:fldCharType="separate"/>
          </w:r>
          <w:r>
            <w:t>80</w:t>
          </w:r>
          <w:r>
            <w:fldChar w:fldCharType="end"/>
          </w:r>
          <w:r>
            <w:rPr>
              <w:rFonts w:hint="default" w:ascii="Times New Roman" w:hAnsi="Times New Roman" w:eastAsia="宋体" w:cs="Times New Roman"/>
              <w:color w:val="auto"/>
            </w:rPr>
            <w:fldChar w:fldCharType="end"/>
          </w:r>
        </w:p>
        <w:p>
          <w:pPr>
            <w:pStyle w:val="13"/>
            <w:tabs>
              <w:tab w:val="right" w:leader="dot" w:pos="8306"/>
            </w:tabs>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_Toc28010 </w:instrText>
          </w:r>
          <w:r>
            <w:rPr>
              <w:rFonts w:hint="default" w:ascii="Times New Roman" w:hAnsi="Times New Roman" w:eastAsia="宋体" w:cs="Times New Roman"/>
            </w:rPr>
            <w:fldChar w:fldCharType="separate"/>
          </w:r>
          <w:r>
            <w:rPr>
              <w:rFonts w:hint="default" w:ascii="Times New Roman" w:hAnsi="Times New Roman" w:cs="Times New Roman"/>
            </w:rPr>
            <w:t>6 项目输出</w:t>
          </w:r>
          <w:r>
            <w:tab/>
          </w:r>
          <w:r>
            <w:fldChar w:fldCharType="begin"/>
          </w:r>
          <w:r>
            <w:instrText xml:space="preserve"> PAGEREF _Toc28010 </w:instrText>
          </w:r>
          <w:r>
            <w:fldChar w:fldCharType="separate"/>
          </w:r>
          <w:r>
            <w:t>81</w:t>
          </w:r>
          <w:r>
            <w:fldChar w:fldCharType="end"/>
          </w:r>
          <w:r>
            <w:rPr>
              <w:rFonts w:hint="default" w:ascii="Times New Roman" w:hAnsi="Times New Roman" w:eastAsia="宋体" w:cs="Times New Roman"/>
              <w:color w:val="auto"/>
            </w:rPr>
            <w:fldChar w:fldCharType="end"/>
          </w:r>
        </w:p>
        <w:p>
          <w:pPr>
            <w:pStyle w:val="2"/>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end"/>
          </w:r>
        </w:p>
      </w:sdtContent>
    </w:sdt>
    <w:p>
      <w:pPr>
        <w:rPr>
          <w:rFonts w:hint="default"/>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pageBreakBefore w:val="0"/>
        <w:kinsoku/>
        <w:wordWrap/>
        <w:overflowPunct/>
        <w:topLinePunct w:val="0"/>
        <w:bidi w:val="0"/>
        <w:spacing w:line="360" w:lineRule="auto"/>
        <w:rPr>
          <w:rFonts w:hint="default" w:ascii="Times New Roman" w:hAnsi="Times New Roman" w:eastAsia="宋体" w:cs="Times New Roman"/>
          <w:color w:val="auto"/>
          <w:sz w:val="30"/>
          <w:szCs w:val="30"/>
          <w:lang w:val="en-US" w:eastAsia="zh-CN"/>
        </w:rPr>
      </w:pPr>
      <w:bookmarkStart w:id="0" w:name="_Toc29498"/>
      <w:r>
        <w:rPr>
          <w:rFonts w:hint="default" w:ascii="Times New Roman" w:hAnsi="Times New Roman" w:eastAsia="宋体" w:cs="Times New Roman"/>
          <w:color w:val="auto"/>
          <w:sz w:val="30"/>
          <w:szCs w:val="30"/>
          <w:lang w:val="en-US" w:eastAsia="zh-CN"/>
        </w:rPr>
        <w:t>1 总论</w:t>
      </w:r>
      <w:bookmarkEnd w:id="0"/>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1" w:name="_Toc5217"/>
      <w:r>
        <w:rPr>
          <w:rFonts w:hint="default" w:ascii="Times New Roman" w:hAnsi="Times New Roman" w:eastAsia="宋体" w:cs="Times New Roman"/>
          <w:color w:val="auto"/>
          <w:sz w:val="28"/>
          <w:szCs w:val="28"/>
          <w:lang w:val="en-US" w:eastAsia="zh-CN"/>
        </w:rPr>
        <w:t>1.1 项目概况</w:t>
      </w:r>
      <w:bookmarkEnd w:id="1"/>
    </w:p>
    <w:p>
      <w:pPr>
        <w:pStyle w:val="2"/>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eastAsia="zh-CN"/>
        </w:rPr>
        <w:t>邢台兴安液压机械有限公司位于邢台市任县工业区永康大街与东环路交口西北侧，项目场地占地33333.4m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（合50亩），中心坐标为E 114°39′18.12″，N 37°8′41.32″。邢台兴安液压机械有限公司是专业从事矿用综采工作面液压支架立柱、千斤顶修复及配件加工的企业。该公司始建于1987年，原名任县液压支柱厂，于2007年10月更名为邢台兴安液压机械有限公司。</w:t>
      </w:r>
      <w:r>
        <w:rPr>
          <w:rFonts w:hint="default" w:ascii="Times New Roman" w:hAnsi="Times New Roman" w:eastAsia="宋体" w:cs="Times New Roman"/>
          <w:color w:val="auto"/>
          <w:lang w:val="en-US" w:eastAsia="zh-CN"/>
        </w:rPr>
        <w:t>该公司在运营期内，未出现过环境污染事故。</w:t>
      </w:r>
    </w:p>
    <w:p>
      <w:pPr>
        <w:keepNext w:val="0"/>
        <w:keepLines w:val="0"/>
        <w:pageBreakBefore w:val="0"/>
        <w:widowControl/>
        <w:tabs>
          <w:tab w:val="left" w:pos="2500"/>
        </w:tabs>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根据《国务院关于印发土壤污染防治行动计划的通知》（国发〔2016〕31号）、《关于印发&lt;2018年河北省土壤污染防治工作要点&gt;的通知》（冀土领办[2018]6 号）、《2019年河北省土壤污染防治工作要点》、《邢台市净土保卫战行动计划》以及2017年7月21日发布的《河北省土壤环境重点监管企业名单》（冀环办字函[2017]402号）等相关文件要求：“自2017年起，列入名单的企业，要自行或委托有资质的环境监测机构，对其企业用地每年开展至少1次土壤环境监测，编制土壤环境质量状况报告，监测数据和报告向当地环保部门备案并向社会公开。”邢台兴安液压机械有限公司属于河北省土壤环境重点监管企业，需要按照国家相关技术规范相关要求开展上述工作。</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bidi="ar-SA"/>
        </w:rPr>
        <w:t>本项目企业邢台兴安液压机械有限公司于</w:t>
      </w:r>
      <w:r>
        <w:rPr>
          <w:rFonts w:hint="default" w:ascii="Times New Roman" w:hAnsi="Times New Roman" w:eastAsia="宋体" w:cs="Times New Roman"/>
          <w:color w:val="auto"/>
          <w:sz w:val="24"/>
          <w:szCs w:val="24"/>
        </w:rPr>
        <w:t>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年11月</w:t>
      </w:r>
      <w:r>
        <w:rPr>
          <w:rFonts w:hint="default" w:ascii="Times New Roman" w:hAnsi="Times New Roman" w:eastAsia="宋体" w:cs="Times New Roman"/>
          <w:color w:val="auto"/>
          <w:sz w:val="24"/>
          <w:szCs w:val="24"/>
          <w:lang w:val="en-US" w:eastAsia="zh-CN" w:bidi="ar-SA"/>
        </w:rPr>
        <w:t>委托我公司河北伟诚环境工程有限公司开展本次企业用地土壤环境质量状况调查与监测工作。2019年11月12日，</w:t>
      </w:r>
      <w:r>
        <w:rPr>
          <w:rFonts w:hint="default" w:ascii="Times New Roman" w:hAnsi="Times New Roman" w:eastAsia="宋体" w:cs="Times New Roman"/>
          <w:color w:val="auto"/>
          <w:sz w:val="24"/>
          <w:szCs w:val="24"/>
        </w:rPr>
        <w:t>我单位组织技术人员</w:t>
      </w:r>
      <w:r>
        <w:rPr>
          <w:rFonts w:hint="default" w:ascii="Times New Roman" w:hAnsi="Times New Roman" w:eastAsia="宋体" w:cs="Times New Roman"/>
          <w:color w:val="auto"/>
          <w:sz w:val="24"/>
          <w:szCs w:val="24"/>
          <w:lang w:eastAsia="zh-CN"/>
        </w:rPr>
        <w:t>对项目场地</w:t>
      </w:r>
      <w:r>
        <w:rPr>
          <w:rFonts w:hint="default" w:ascii="Times New Roman" w:hAnsi="Times New Roman" w:eastAsia="宋体" w:cs="Times New Roman"/>
          <w:color w:val="auto"/>
          <w:sz w:val="24"/>
          <w:szCs w:val="24"/>
        </w:rPr>
        <w:t>进行了现场踏勘、场地调研、资料收集与分析等工作，并在此基础上编制完成了《</w:t>
      </w:r>
      <w:r>
        <w:rPr>
          <w:rFonts w:hint="default" w:ascii="Times New Roman" w:hAnsi="Times New Roman" w:eastAsia="宋体" w:cs="Times New Roman"/>
          <w:color w:val="auto"/>
          <w:sz w:val="24"/>
          <w:szCs w:val="24"/>
          <w:lang w:val="en-US" w:eastAsia="zh-CN"/>
        </w:rPr>
        <w:t>河北兴安液压机械有限公司重点监管企业土壤环境质量状况调查方案</w:t>
      </w:r>
      <w:r>
        <w:rPr>
          <w:rFonts w:hint="default" w:ascii="Times New Roman" w:hAnsi="Times New Roman" w:eastAsia="宋体" w:cs="Times New Roman"/>
          <w:color w:val="auto"/>
          <w:sz w:val="24"/>
          <w:szCs w:val="24"/>
        </w:rPr>
        <w:t>》（以下简称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调查方案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2019年11月24日，该调查方案通过了兴安液压机械有限公司在邢台市组织召开的专家咨询会</w:t>
      </w:r>
      <w:r>
        <w:rPr>
          <w:rFonts w:hint="default" w:ascii="Times New Roman" w:hAnsi="Times New Roman" w:eastAsia="宋体" w:cs="Times New Roman"/>
          <w:color w:val="auto"/>
          <w:sz w:val="24"/>
          <w:szCs w:val="24"/>
          <w:lang w:eastAsia="zh-CN"/>
        </w:rPr>
        <w:t>，我单位依照专家意见细化了布点情况并增补了相关内容，最终</w:t>
      </w:r>
      <w:r>
        <w:rPr>
          <w:rFonts w:hint="default" w:ascii="Times New Roman" w:hAnsi="Times New Roman" w:eastAsia="宋体" w:cs="Times New Roman"/>
          <w:color w:val="auto"/>
          <w:sz w:val="24"/>
          <w:szCs w:val="24"/>
        </w:rPr>
        <w:t>编制完成</w:t>
      </w:r>
      <w:r>
        <w:rPr>
          <w:rFonts w:hint="default" w:ascii="Times New Roman" w:hAnsi="Times New Roman" w:eastAsia="宋体" w:cs="Times New Roman"/>
          <w:color w:val="auto"/>
          <w:sz w:val="24"/>
          <w:szCs w:val="24"/>
          <w:lang w:eastAsia="zh-CN"/>
        </w:rPr>
        <w:t>此《</w:t>
      </w:r>
      <w:r>
        <w:rPr>
          <w:rFonts w:hint="default" w:ascii="Times New Roman" w:hAnsi="Times New Roman" w:eastAsia="宋体" w:cs="Times New Roman"/>
          <w:color w:val="auto"/>
          <w:sz w:val="24"/>
          <w:szCs w:val="24"/>
          <w:lang w:val="en-US" w:eastAsia="zh-CN" w:bidi="ar-SA"/>
        </w:rPr>
        <w:t>邢台兴安液压机械有限公司</w:t>
      </w:r>
      <w:r>
        <w:rPr>
          <w:rFonts w:hint="default" w:ascii="Times New Roman" w:hAnsi="Times New Roman" w:eastAsia="宋体" w:cs="Times New Roman"/>
          <w:color w:val="auto"/>
          <w:sz w:val="24"/>
          <w:szCs w:val="24"/>
          <w:lang w:eastAsia="zh-CN"/>
        </w:rPr>
        <w:t>企业用地</w:t>
      </w:r>
      <w:r>
        <w:rPr>
          <w:rFonts w:hint="default" w:ascii="Times New Roman" w:hAnsi="Times New Roman" w:eastAsia="宋体" w:cs="Times New Roman"/>
          <w:color w:val="auto"/>
          <w:sz w:val="24"/>
          <w:szCs w:val="24"/>
          <w:lang w:val="en-US" w:eastAsia="zh-CN"/>
        </w:rPr>
        <w:t>2019年度</w:t>
      </w:r>
      <w:r>
        <w:rPr>
          <w:rFonts w:hint="default" w:ascii="Times New Roman" w:hAnsi="Times New Roman" w:eastAsia="宋体" w:cs="Times New Roman"/>
          <w:color w:val="auto"/>
          <w:sz w:val="24"/>
          <w:szCs w:val="24"/>
          <w:lang w:eastAsia="zh-CN"/>
        </w:rPr>
        <w:t>土壤环境质量状况报告》，现呈报主管部门备案。</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2" w:name="_Toc24120"/>
      <w:bookmarkStart w:id="3" w:name="_Toc10304"/>
      <w:r>
        <w:rPr>
          <w:rFonts w:hint="default" w:ascii="Times New Roman" w:hAnsi="Times New Roman" w:eastAsia="宋体" w:cs="Times New Roman"/>
          <w:color w:val="auto"/>
          <w:sz w:val="28"/>
          <w:szCs w:val="28"/>
          <w:lang w:val="en-US" w:eastAsia="zh-CN"/>
        </w:rPr>
        <w:t>1.2 编制依据</w:t>
      </w:r>
      <w:bookmarkEnd w:id="2"/>
      <w:bookmarkEnd w:id="3"/>
    </w:p>
    <w:p>
      <w:pPr>
        <w:pStyle w:val="6"/>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rPr>
      </w:pPr>
      <w:bookmarkStart w:id="4" w:name="_Toc23714"/>
      <w:bookmarkStart w:id="5" w:name="_Toc32724"/>
      <w:r>
        <w:rPr>
          <w:rFonts w:hint="default" w:ascii="Times New Roman" w:hAnsi="Times New Roman" w:eastAsia="宋体" w:cs="Times New Roman"/>
          <w:color w:val="auto"/>
          <w:lang w:val="en-US" w:eastAsia="zh-CN"/>
        </w:rPr>
        <w:t xml:space="preserve">1.2.1 </w:t>
      </w:r>
      <w:r>
        <w:rPr>
          <w:rFonts w:hint="default" w:ascii="Times New Roman" w:hAnsi="Times New Roman" w:eastAsia="宋体" w:cs="Times New Roman"/>
          <w:color w:val="auto"/>
          <w:sz w:val="24"/>
          <w:szCs w:val="24"/>
        </w:rPr>
        <w:t>法律法规和政策文件</w:t>
      </w:r>
      <w:bookmarkEnd w:id="4"/>
      <w:bookmarkEnd w:id="5"/>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（1）《中华人民共和国环境保护法》（主席令[2015]9号，2015年1月1日起实施）；</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（2）《中华人民共和国固体废物污染防治法》（主席令[2004]31号，2005年4月1日起实施，2015年4月24日第十二届全国人民代表大会常务委员会第十四次会议第三次修订）；</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（3）《土壤污染防治行动计划》（国发[2016]31号，2016年5月28日起实施）；</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（4）《污染地块土壤环境管理办法（试行）》（环保部令[2016]42号，2017年7月1日起施行）；</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（5）《工矿用地土壤环境管理办法（试行）》（生态环境部令[2018]3号，2018年8月1日起施行）；</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（6）《河北省人民政府关于印发河北省“净土行动”土壤污染防治工作方案的通知》（冀政发[2017]3号，2017年2月26日起施行）；</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（7）《河北省土壤环境重点监管企业名单》（冀环办字函[2017]402号）；</w:t>
      </w:r>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（8）《关于印发&lt;2018年河北省土壤污染防治工作要点&gt;的通知》（冀土领办[2018]6号）； </w:t>
      </w:r>
    </w:p>
    <w:p>
      <w:pPr>
        <w:pageBreakBefore w:val="0"/>
        <w:kinsoku/>
        <w:wordWrap/>
        <w:overflowPunct/>
        <w:topLinePunct w:val="0"/>
        <w:bidi w:val="0"/>
        <w:spacing w:line="360" w:lineRule="auto"/>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（9）《邢台市净土保卫战行动计划》；</w:t>
      </w:r>
    </w:p>
    <w:p>
      <w:pPr>
        <w:pStyle w:val="2"/>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（10）《2019年邢台市土壤污染防治工作要点》。</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6" w:name="_Toc5568"/>
      <w:bookmarkStart w:id="7" w:name="_Toc18339"/>
      <w:r>
        <w:rPr>
          <w:rFonts w:hint="default" w:ascii="Times New Roman" w:hAnsi="Times New Roman" w:eastAsia="宋体" w:cs="Times New Roman"/>
          <w:color w:val="auto"/>
          <w:lang w:val="en-US" w:eastAsia="zh-CN"/>
        </w:rPr>
        <w:t>1.2.2 技术导则和标准规范</w:t>
      </w:r>
      <w:bookmarkEnd w:id="6"/>
      <w:bookmarkEnd w:id="7"/>
    </w:p>
    <w:p>
      <w:pPr>
        <w:widowControl/>
        <w:bidi w:val="0"/>
        <w:spacing w:line="480" w:lineRule="exact"/>
        <w:ind w:firstLine="480"/>
        <w:jc w:val="left"/>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（1）《建设用地土壤污染状况调查技术导则》（HJ 25.1-2019）；</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US" w:eastAsia="zh-CN"/>
        </w:rPr>
        <w:t>（2）《建设用地土壤污染风险管控和修复监测技术导则》（HJ 25.2-2019）</w:t>
      </w:r>
      <w:r>
        <w:rPr>
          <w:rFonts w:hint="default" w:ascii="Times New Roman" w:hAnsi="Times New Roman" w:eastAsia="宋体" w:cs="Times New Roman"/>
          <w:color w:val="auto"/>
          <w:szCs w:val="24"/>
        </w:rPr>
        <w:t>；</w:t>
      </w:r>
    </w:p>
    <w:p>
      <w:pPr>
        <w:widowControl/>
        <w:spacing w:line="480" w:lineRule="exact"/>
        <w:ind w:firstLine="480"/>
        <w:jc w:val="left"/>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（3）《建设用地土壤污染风险评估技术导则》（HJ 25.3-2019）；</w:t>
      </w:r>
    </w:p>
    <w:p>
      <w:pPr>
        <w:widowControl/>
        <w:spacing w:line="480" w:lineRule="exact"/>
        <w:ind w:firstLine="480"/>
        <w:jc w:val="left"/>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（4）</w:t>
      </w:r>
      <w:r>
        <w:rPr>
          <w:rFonts w:hint="default" w:ascii="Times New Roman" w:hAnsi="Times New Roman" w:eastAsia="宋体" w:cs="Times New Roman"/>
          <w:color w:val="auto"/>
          <w:szCs w:val="24"/>
          <w:lang w:eastAsia="zh-CN"/>
        </w:rPr>
        <w:t>《在产企业土壤及地下水自行监测技术指南（征求意见稿）》；</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val="en-US" w:eastAsia="zh-CN"/>
        </w:rPr>
        <w:t>5</w:t>
      </w:r>
      <w:r>
        <w:rPr>
          <w:rFonts w:hint="default" w:ascii="Times New Roman" w:hAnsi="Times New Roman" w:eastAsia="宋体" w:cs="Times New Roman"/>
          <w:color w:val="auto"/>
          <w:szCs w:val="24"/>
        </w:rPr>
        <w:t>）《北京市重点企业土壤环境自行监测技术指南（暂行）2018》；</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val="en-US" w:eastAsia="zh-CN"/>
        </w:rPr>
        <w:t>6</w:t>
      </w:r>
      <w:r>
        <w:rPr>
          <w:rFonts w:hint="default" w:ascii="Times New Roman" w:hAnsi="Times New Roman" w:eastAsia="宋体" w:cs="Times New Roman"/>
          <w:color w:val="auto"/>
          <w:szCs w:val="24"/>
        </w:rPr>
        <w:t>）《建设用地土壤环境调查评估技术指南》；</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val="en-US" w:eastAsia="zh-CN"/>
        </w:rPr>
        <w:t>7</w:t>
      </w:r>
      <w:r>
        <w:rPr>
          <w:rFonts w:hint="default" w:ascii="Times New Roman" w:hAnsi="Times New Roman" w:eastAsia="宋体" w:cs="Times New Roman"/>
          <w:color w:val="auto"/>
          <w:szCs w:val="24"/>
        </w:rPr>
        <w:t>）《工业企业场地环境调查评估与修复工作指南（试行）2014》；</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val="en-US" w:eastAsia="zh-CN"/>
        </w:rPr>
        <w:t>8</w:t>
      </w:r>
      <w:r>
        <w:rPr>
          <w:rFonts w:hint="default" w:ascii="Times New Roman" w:hAnsi="Times New Roman" w:eastAsia="宋体" w:cs="Times New Roman"/>
          <w:color w:val="auto"/>
          <w:szCs w:val="24"/>
        </w:rPr>
        <w:t>）《重点行业企业用地调查信息采集技术规定》（试行2017）；</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val="en-US" w:eastAsia="zh-CN"/>
        </w:rPr>
        <w:t>9</w:t>
      </w:r>
      <w:r>
        <w:rPr>
          <w:rFonts w:hint="default" w:ascii="Times New Roman" w:hAnsi="Times New Roman" w:eastAsia="宋体" w:cs="Times New Roman"/>
          <w:color w:val="auto"/>
          <w:szCs w:val="24"/>
        </w:rPr>
        <w:t>）《重点行业企业用地调查疑似污染地块布点技术规定》（试行2017）；</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val="en-US" w:eastAsia="zh-CN"/>
        </w:rPr>
        <w:t>10</w:t>
      </w:r>
      <w:r>
        <w:rPr>
          <w:rFonts w:hint="default" w:ascii="Times New Roman" w:hAnsi="Times New Roman" w:eastAsia="宋体" w:cs="Times New Roman"/>
          <w:color w:val="auto"/>
          <w:szCs w:val="24"/>
        </w:rPr>
        <w:t>）《重点行业企业用地调查样品采集保存和流转技术规定》（试行2017）；</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1</w:t>
      </w:r>
      <w:r>
        <w:rPr>
          <w:rFonts w:hint="default" w:ascii="Times New Roman" w:hAnsi="Times New Roman" w:eastAsia="宋体" w:cs="Times New Roman"/>
          <w:color w:val="auto"/>
          <w:szCs w:val="24"/>
        </w:rPr>
        <w:t>）《重点行业企业用地土壤污染状况调查质量保证与质量控制技术规定》；</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rPr>
        <w:t>）《土壤环境监测技术规范》（HJ/T 166-2004）；</w:t>
      </w:r>
    </w:p>
    <w:p>
      <w:pPr>
        <w:widowControl/>
        <w:bidi w:val="0"/>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3</w:t>
      </w:r>
      <w:r>
        <w:rPr>
          <w:rFonts w:hint="default" w:ascii="Times New Roman" w:hAnsi="Times New Roman" w:eastAsia="宋体" w:cs="Times New Roman"/>
          <w:color w:val="auto"/>
          <w:szCs w:val="24"/>
        </w:rPr>
        <w:t>）《土壤环境质量</w:t>
      </w:r>
      <w:r>
        <w:rPr>
          <w:rFonts w:hint="default" w:ascii="Times New Roman" w:hAnsi="Times New Roman" w:eastAsia="宋体" w:cs="Times New Roman"/>
          <w:color w:val="auto"/>
          <w:szCs w:val="24"/>
          <w:lang w:val="en-US" w:eastAsia="zh-CN"/>
        </w:rPr>
        <w:t xml:space="preserve"> </w:t>
      </w:r>
      <w:r>
        <w:rPr>
          <w:rFonts w:hint="default" w:ascii="Times New Roman" w:hAnsi="Times New Roman" w:eastAsia="宋体" w:cs="Times New Roman"/>
          <w:color w:val="auto"/>
          <w:szCs w:val="24"/>
        </w:rPr>
        <w:t>建设用地土壤污染风险管控标准（试行）》（GB36600-2018）；</w:t>
      </w:r>
    </w:p>
    <w:p>
      <w:pPr>
        <w:pStyle w:val="2"/>
        <w:rPr>
          <w:rFonts w:hint="default" w:ascii="Times New Roman" w:hAnsi="Times New Roman" w:eastAsia="宋体" w:cs="Times New Roman"/>
          <w:color w:val="auto"/>
          <w:lang w:eastAsia="zh-CN"/>
        </w:rPr>
      </w:pP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14</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lang w:val="en-US" w:eastAsia="zh-CN"/>
        </w:rPr>
        <w:t>《地下水质量标准》（GB/T 14848-2017）；</w:t>
      </w:r>
    </w:p>
    <w:p>
      <w:pPr>
        <w:widowControl/>
        <w:spacing w:line="480" w:lineRule="exact"/>
        <w:ind w:firstLine="48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5</w:t>
      </w:r>
      <w:r>
        <w:rPr>
          <w:rFonts w:hint="default" w:ascii="Times New Roman" w:hAnsi="Times New Roman" w:eastAsia="宋体" w:cs="Times New Roman"/>
          <w:color w:val="auto"/>
          <w:szCs w:val="24"/>
        </w:rPr>
        <w:t>）《岩土工程勘查规范》（GB50021-2001）。</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8" w:name="_Toc7880"/>
      <w:bookmarkStart w:id="9" w:name="_Toc13889"/>
      <w:r>
        <w:rPr>
          <w:rFonts w:hint="default" w:ascii="Times New Roman" w:hAnsi="Times New Roman" w:eastAsia="宋体" w:cs="Times New Roman"/>
          <w:color w:val="auto"/>
          <w:lang w:val="en-US" w:eastAsia="zh-CN"/>
        </w:rPr>
        <w:t xml:space="preserve">1.2.3 </w:t>
      </w:r>
      <w:bookmarkEnd w:id="8"/>
      <w:r>
        <w:rPr>
          <w:rFonts w:hint="default" w:ascii="Times New Roman" w:hAnsi="Times New Roman" w:eastAsia="宋体" w:cs="Times New Roman"/>
          <w:color w:val="auto"/>
          <w:lang w:val="en-US" w:eastAsia="zh-CN"/>
        </w:rPr>
        <w:t>相关资料</w:t>
      </w:r>
      <w:bookmarkEnd w:id="9"/>
    </w:p>
    <w:p>
      <w:pPr>
        <w:keepNext w:val="0"/>
        <w:keepLines w:val="0"/>
        <w:pageBreakBefore w:val="0"/>
        <w:widowControl/>
        <w:suppressLineNumbers w:val="0"/>
        <w:kinsoku/>
        <w:wordWrap/>
        <w:overflowPunct/>
        <w:topLinePunct w:val="0"/>
        <w:autoSpaceDE/>
        <w:autoSpaceDN/>
        <w:bidi w:val="0"/>
        <w:spacing w:line="360" w:lineRule="auto"/>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邢台兴安液压机械有限公司矿用液压支架加工迁建项目环境影响报告书</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p>
    <w:p>
      <w:pPr>
        <w:keepNext w:val="0"/>
        <w:keepLines w:val="0"/>
        <w:pageBreakBefore w:val="0"/>
        <w:widowControl/>
        <w:suppressLineNumbers w:val="0"/>
        <w:kinsoku/>
        <w:wordWrap/>
        <w:overflowPunct/>
        <w:topLinePunct w:val="0"/>
        <w:autoSpaceDE/>
        <w:autoSpaceDN/>
        <w:bidi w:val="0"/>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邢台兴安液压机械有限公司技术改造项目环境影响报告书</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）企业大事记及提供的部分相关资料。</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10" w:name="_Toc245"/>
      <w:bookmarkStart w:id="11" w:name="_Toc29819"/>
      <w:r>
        <w:rPr>
          <w:rFonts w:hint="default" w:ascii="Times New Roman" w:hAnsi="Times New Roman" w:eastAsia="宋体" w:cs="Times New Roman"/>
          <w:color w:val="auto"/>
          <w:sz w:val="28"/>
          <w:szCs w:val="28"/>
          <w:lang w:val="en-US" w:eastAsia="zh-CN"/>
        </w:rPr>
        <w:t>1.3 调查范围及周边环境</w:t>
      </w:r>
      <w:bookmarkEnd w:id="10"/>
      <w:bookmarkEnd w:id="11"/>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2" w:name="_Toc21329"/>
      <w:bookmarkStart w:id="13" w:name="_Toc18175"/>
      <w:r>
        <w:rPr>
          <w:rFonts w:hint="default" w:ascii="Times New Roman" w:hAnsi="Times New Roman" w:eastAsia="宋体" w:cs="Times New Roman"/>
          <w:color w:val="auto"/>
          <w:lang w:val="en-US" w:eastAsia="zh-CN"/>
        </w:rPr>
        <w:t>1.3.1 调查原则</w:t>
      </w:r>
      <w:bookmarkEnd w:id="12"/>
      <w:bookmarkEnd w:id="13"/>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（1）针对性原则</w:t>
      </w:r>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针对企业在用疑似污染地块的特征和潜在污染物特性，进行污染物浓度和空间分布调查，为疑似污染地块的环境管理提供依据。</w: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（2）规范性原则</w:t>
      </w:r>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采用程序化和系统化的方式规范场地环境调查过程，保证调查过程的科学性和客观性。</w: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（3）可操作性原则</w: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综合考虑调查方法、时间和经费等因素，结合实际专业技术水平，使调查过程切实可行。</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4" w:name="_Toc25992"/>
      <w:r>
        <w:rPr>
          <w:rFonts w:hint="default" w:ascii="Times New Roman" w:hAnsi="Times New Roman" w:eastAsia="宋体" w:cs="Times New Roman"/>
          <w:color w:val="auto"/>
          <w:lang w:val="en-US" w:eastAsia="zh-CN"/>
        </w:rPr>
        <w:t>1.3.2 调查范围</w:t>
      </w:r>
      <w:bookmarkEnd w:id="14"/>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本项目调查地块位于</w:t>
      </w:r>
      <w:r>
        <w:rPr>
          <w:rFonts w:hint="default" w:ascii="Times New Roman" w:hAnsi="Times New Roman" w:eastAsia="宋体" w:cs="Times New Roman"/>
          <w:color w:val="auto"/>
          <w:sz w:val="24"/>
          <w:szCs w:val="24"/>
          <w:lang w:eastAsia="zh-CN"/>
        </w:rPr>
        <w:t>邢台市</w:t>
      </w:r>
      <w:r>
        <w:rPr>
          <w:rFonts w:hint="default" w:ascii="Times New Roman" w:hAnsi="Times New Roman" w:eastAsia="宋体" w:cs="Times New Roman"/>
          <w:color w:val="auto"/>
          <w:sz w:val="24"/>
          <w:szCs w:val="24"/>
          <w:lang w:val="en-US" w:eastAsia="zh-CN"/>
        </w:rPr>
        <w:t>任县工业区</w:t>
      </w:r>
      <w:r>
        <w:rPr>
          <w:rFonts w:hint="default" w:ascii="Times New Roman" w:hAnsi="Times New Roman" w:eastAsia="宋体" w:cs="Times New Roman"/>
        </w:rPr>
        <w:t>永康大街</w:t>
      </w:r>
      <w:r>
        <w:rPr>
          <w:rFonts w:hint="default" w:ascii="Times New Roman" w:hAnsi="Times New Roman" w:cs="Times New Roman"/>
          <w:lang w:eastAsia="zh-CN"/>
        </w:rPr>
        <w:t>与</w:t>
      </w:r>
      <w:r>
        <w:rPr>
          <w:rFonts w:hint="default" w:ascii="Times New Roman" w:hAnsi="Times New Roman" w:eastAsia="宋体" w:cs="Times New Roman"/>
        </w:rPr>
        <w:t>东环路</w:t>
      </w:r>
      <w:r>
        <w:rPr>
          <w:rFonts w:hint="default" w:ascii="Times New Roman" w:hAnsi="Times New Roman" w:cs="Times New Roman"/>
          <w:lang w:eastAsia="zh-CN"/>
        </w:rPr>
        <w:t>交口西北</w:t>
      </w:r>
      <w:r>
        <w:rPr>
          <w:rFonts w:hint="default" w:ascii="Times New Roman" w:hAnsi="Times New Roman" w:eastAsia="宋体" w:cs="Times New Roman"/>
        </w:rPr>
        <w:t>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rPr>
        <w:t>调查范围为</w:t>
      </w:r>
      <w:r>
        <w:rPr>
          <w:rFonts w:hint="default" w:ascii="Times New Roman" w:hAnsi="Times New Roman" w:eastAsia="宋体" w:cs="Times New Roman"/>
          <w:color w:val="auto"/>
          <w:sz w:val="24"/>
          <w:szCs w:val="24"/>
          <w:lang w:eastAsia="zh-CN"/>
        </w:rPr>
        <w:t>邢台兴安液压机械有限公司厂区</w:t>
      </w:r>
      <w:r>
        <w:rPr>
          <w:rFonts w:hint="default" w:ascii="Times New Roman" w:hAnsi="Times New Roman" w:eastAsia="宋体" w:cs="Times New Roman"/>
          <w:color w:val="auto"/>
          <w:lang w:eastAsia="zh-CN"/>
        </w:rPr>
        <w:t>。该地块</w:t>
      </w:r>
      <w:r>
        <w:rPr>
          <w:rFonts w:hint="default" w:ascii="Times New Roman" w:hAnsi="Times New Roman" w:eastAsia="宋体" w:cs="Times New Roman"/>
          <w:color w:val="auto"/>
          <w:sz w:val="24"/>
          <w:szCs w:val="24"/>
          <w:lang w:eastAsia="zh-CN"/>
        </w:rPr>
        <w:t>占地面积</w:t>
      </w:r>
      <w:r>
        <w:rPr>
          <w:rFonts w:hint="default" w:ascii="Times New Roman" w:hAnsi="Times New Roman" w:eastAsia="宋体" w:cs="Times New Roman"/>
          <w:color w:val="auto"/>
          <w:sz w:val="24"/>
          <w:szCs w:val="24"/>
          <w:lang w:val="en-US" w:eastAsia="zh-CN"/>
        </w:rPr>
        <w:t>33333.4</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（合</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0亩），场地中心坐标为</w:t>
      </w:r>
      <w:r>
        <w:rPr>
          <w:rFonts w:hint="default" w:ascii="Times New Roman" w:hAnsi="Times New Roman" w:eastAsia="宋体" w:cs="Times New Roman"/>
          <w:color w:val="auto"/>
          <w:sz w:val="24"/>
          <w:szCs w:val="24"/>
          <w:lang w:val="en-US" w:eastAsia="zh-CN"/>
        </w:rPr>
        <w:t>E 114°39′18.12″，N 37°8′41.32″。</w:t>
      </w:r>
      <w:r>
        <w:rPr>
          <w:rFonts w:hint="default" w:ascii="Times New Roman" w:hAnsi="Times New Roman" w:eastAsia="宋体" w:cs="Times New Roman"/>
          <w:color w:val="auto"/>
        </w:rPr>
        <w:t>调查范围</w:t>
      </w:r>
      <w:r>
        <w:rPr>
          <w:rFonts w:hint="default" w:ascii="Times New Roman" w:hAnsi="Times New Roman" w:eastAsia="宋体" w:cs="Times New Roman"/>
          <w:color w:val="auto"/>
          <w:lang w:eastAsia="zh-CN"/>
        </w:rPr>
        <w:t>红线图</w:t>
      </w:r>
      <w:r>
        <w:rPr>
          <w:rFonts w:hint="default" w:ascii="Times New Roman" w:hAnsi="Times New Roman" w:eastAsia="宋体" w:cs="Times New Roman"/>
          <w:color w:val="auto"/>
        </w:rPr>
        <w:t>见图1.3-1。</w:t>
      </w:r>
    </w:p>
    <w:p>
      <w:pPr>
        <w:pageBreakBefore w:val="0"/>
        <w:kinsoku/>
        <w:wordWrap/>
        <w:overflowPunct/>
        <w:topLinePunct w:val="0"/>
        <w:bidi w:val="0"/>
        <w:spacing w:line="360" w:lineRule="auto"/>
        <w:ind w:firstLine="48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color w:val="auto"/>
          <w:lang w:val="en-US" w:eastAsia="zh-CN"/>
        </w:rPr>
        <w:drawing>
          <wp:anchor distT="0" distB="0" distL="114300" distR="114300" simplePos="0" relativeHeight="1256836096" behindDoc="0" locked="0" layoutInCell="1" allowOverlap="1">
            <wp:simplePos x="0" y="0"/>
            <wp:positionH relativeFrom="column">
              <wp:posOffset>4737100</wp:posOffset>
            </wp:positionH>
            <wp:positionV relativeFrom="paragraph">
              <wp:posOffset>134620</wp:posOffset>
            </wp:positionV>
            <wp:extent cx="512445" cy="695325"/>
            <wp:effectExtent l="0" t="0" r="1905" b="9525"/>
            <wp:wrapNone/>
            <wp:docPr id="19" name="图片 2" descr="157602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1576029038"/>
                    <pic:cNvPicPr>
                      <a:picLocks noChangeAspect="1"/>
                    </pic:cNvPicPr>
                  </pic:nvPicPr>
                  <pic:blipFill>
                    <a:blip r:embed="rId9"/>
                    <a:stretch>
                      <a:fillRect/>
                    </a:stretch>
                  </pic:blipFill>
                  <pic:spPr>
                    <a:xfrm>
                      <a:off x="0" y="0"/>
                      <a:ext cx="512445" cy="695325"/>
                    </a:xfrm>
                    <a:prstGeom prst="rect">
                      <a:avLst/>
                    </a:prstGeom>
                    <a:noFill/>
                    <a:ln>
                      <a:noFill/>
                    </a:ln>
                  </pic:spPr>
                </pic:pic>
              </a:graphicData>
            </a:graphic>
          </wp:anchor>
        </w:drawing>
      </w:r>
      <w:r>
        <w:rPr>
          <w:rFonts w:hint="default" w:ascii="Times New Roman" w:hAnsi="Times New Roman" w:eastAsia="宋体" w:cs="Times New Roman"/>
          <w:color w:val="auto"/>
          <w:lang w:val="en-US" w:eastAsia="zh-CN"/>
        </w:rPr>
        <w:drawing>
          <wp:anchor distT="0" distB="0" distL="114300" distR="114300" simplePos="0" relativeHeight="3980925952" behindDoc="0" locked="0" layoutInCell="1" allowOverlap="1">
            <wp:simplePos x="0" y="0"/>
            <wp:positionH relativeFrom="column">
              <wp:posOffset>4731385</wp:posOffset>
            </wp:positionH>
            <wp:positionV relativeFrom="paragraph">
              <wp:posOffset>138430</wp:posOffset>
            </wp:positionV>
            <wp:extent cx="512445" cy="695325"/>
            <wp:effectExtent l="0" t="0" r="1905" b="9525"/>
            <wp:wrapNone/>
            <wp:docPr id="108" name="图片 2" descr="157602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descr="1576029038"/>
                    <pic:cNvPicPr>
                      <a:picLocks noChangeAspect="1"/>
                    </pic:cNvPicPr>
                  </pic:nvPicPr>
                  <pic:blipFill>
                    <a:blip r:embed="rId9"/>
                    <a:stretch>
                      <a:fillRect/>
                    </a:stretch>
                  </pic:blipFill>
                  <pic:spPr>
                    <a:xfrm>
                      <a:off x="0" y="0"/>
                      <a:ext cx="512445" cy="695325"/>
                    </a:xfrm>
                    <a:prstGeom prst="rect">
                      <a:avLst/>
                    </a:prstGeom>
                    <a:noFill/>
                    <a:ln>
                      <a:noFill/>
                    </a:ln>
                  </pic:spPr>
                </pic:pic>
              </a:graphicData>
            </a:graphic>
          </wp:anchor>
        </w:drawing>
      </w:r>
      <w:r>
        <w:rPr>
          <w:rFonts w:hint="default" w:ascii="Times New Roman" w:hAnsi="Times New Roman" w:eastAsia="宋体" w:cs="Times New Roman"/>
          <w:b/>
          <w:bCs/>
          <w:color w:val="auto"/>
          <w:sz w:val="24"/>
        </w:rPr>
        <mc:AlternateContent>
          <mc:Choice Requires="wps">
            <w:drawing>
              <wp:anchor distT="0" distB="0" distL="114300" distR="114300" simplePos="0" relativeHeight="252181504" behindDoc="0" locked="0" layoutInCell="1" allowOverlap="1">
                <wp:simplePos x="0" y="0"/>
                <wp:positionH relativeFrom="column">
                  <wp:posOffset>1828165</wp:posOffset>
                </wp:positionH>
                <wp:positionV relativeFrom="paragraph">
                  <wp:posOffset>1365885</wp:posOffset>
                </wp:positionV>
                <wp:extent cx="1925320" cy="973455"/>
                <wp:effectExtent l="0" t="0" r="0" b="0"/>
                <wp:wrapNone/>
                <wp:docPr id="4" name="文本框 4"/>
                <wp:cNvGraphicFramePr/>
                <a:graphic xmlns:a="http://schemas.openxmlformats.org/drawingml/2006/main">
                  <a:graphicData uri="http://schemas.microsoft.com/office/word/2010/wordprocessingShape">
                    <wps:wsp>
                      <wps:cNvSpPr txBox="1"/>
                      <wps:spPr>
                        <a:xfrm>
                          <a:off x="2971165" y="2280285"/>
                          <a:ext cx="1925320" cy="973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jc w:val="center"/>
                              <w:rPr>
                                <w:rFonts w:hint="eastAsia"/>
                                <w:sz w:val="21"/>
                                <w:szCs w:val="21"/>
                                <w:highlight w:val="yellow"/>
                                <w:lang w:eastAsia="zh-CN"/>
                              </w:rPr>
                            </w:pPr>
                            <w:r>
                              <w:rPr>
                                <w:rFonts w:hint="eastAsia"/>
                                <w:sz w:val="21"/>
                                <w:szCs w:val="21"/>
                                <w:highlight w:val="yellow"/>
                                <w:lang w:eastAsia="zh-CN"/>
                              </w:rPr>
                              <w:t>本项目调查范围</w:t>
                            </w:r>
                          </w:p>
                          <w:p>
                            <w:pPr>
                              <w:pStyle w:val="15"/>
                              <w:spacing w:line="240" w:lineRule="auto"/>
                              <w:ind w:left="0" w:leftChars="0" w:firstLine="0" w:firstLineChars="0"/>
                              <w:jc w:val="center"/>
                              <w:rPr>
                                <w:rFonts w:hint="default"/>
                                <w:sz w:val="21"/>
                                <w:szCs w:val="21"/>
                                <w:highlight w:val="yellow"/>
                                <w:lang w:val="en-US" w:eastAsia="zh-CN"/>
                              </w:rPr>
                            </w:pPr>
                            <w:r>
                              <w:rPr>
                                <w:rFonts w:hint="default" w:ascii="Times New Roman" w:hAnsi="Times New Roman" w:cs="Times New Roman" w:eastAsiaTheme="majorEastAsia"/>
                                <w:color w:val="auto"/>
                                <w:kern w:val="0"/>
                                <w:sz w:val="21"/>
                                <w:szCs w:val="21"/>
                                <w:highlight w:val="yellow"/>
                                <w:lang w:val="en-US" w:eastAsia="zh-CN" w:bidi="ar-SA"/>
                              </w:rPr>
                              <w:t>33333.4</w:t>
                            </w:r>
                            <w:r>
                              <w:rPr>
                                <w:rFonts w:hint="eastAsia" w:ascii="Times New Roman" w:hAnsi="Times New Roman" w:cs="Times New Roman" w:eastAsiaTheme="majorEastAsia"/>
                                <w:color w:val="auto"/>
                                <w:kern w:val="0"/>
                                <w:sz w:val="21"/>
                                <w:szCs w:val="21"/>
                                <w:highlight w:val="yellow"/>
                                <w:lang w:val="en-US" w:eastAsia="zh-CN" w:bidi="ar-SA"/>
                              </w:rPr>
                              <w:t>m</w:t>
                            </w:r>
                            <w:r>
                              <w:rPr>
                                <w:rFonts w:hint="eastAsia" w:ascii="Times New Roman" w:hAnsi="Times New Roman" w:cs="Times New Roman" w:eastAsiaTheme="majorEastAsia"/>
                                <w:color w:val="auto"/>
                                <w:kern w:val="0"/>
                                <w:sz w:val="21"/>
                                <w:szCs w:val="21"/>
                                <w:highlight w:val="yellow"/>
                                <w:vertAlign w:val="superscript"/>
                                <w:lang w:val="en-US" w:eastAsia="zh-CN" w:bidi="ar-SA"/>
                              </w:rPr>
                              <w:t>2</w:t>
                            </w:r>
                            <w:r>
                              <w:rPr>
                                <w:rFonts w:hint="eastAsia"/>
                                <w:sz w:val="21"/>
                                <w:szCs w:val="21"/>
                                <w:highlight w:val="yellow"/>
                                <w:lang w:val="en-US" w:eastAsia="zh-CN"/>
                              </w:rPr>
                              <w:t>（约50亩）</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3.95pt;margin-top:107.55pt;height:76.65pt;width:151.6pt;z-index:252181504;mso-width-relative:page;mso-height-relative:page;" filled="f" stroked="f" coordsize="21600,21600" o:gfxdata="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3J9x1wAAAAsBAAAPAAAAAAAAAAEAIAAAACIAAABkcnMvZG93bnJldi54bWxQ&#10;SwECFAAUAAAACACHTuJAI8nxFzECAAAwBAAADgAAAAAAAAABACAAAAAmAQAAZHJzL2Uyb0RvYy54&#10;bWxQSwUGAAAAAAYABgBZAQAAyQUAAAAA&#10;">
                <v:fill on="f" focussize="0,0"/>
                <v:stroke on="f" weight="0.5pt"/>
                <v:imagedata o:title=""/>
                <o:lock v:ext="edit" aspectratio="f"/>
                <v:textbox style="mso-fit-shape-to-text:t;">
                  <w:txbxContent>
                    <w:p>
                      <w:pPr>
                        <w:spacing w:line="240" w:lineRule="auto"/>
                        <w:ind w:left="0" w:leftChars="0" w:firstLine="0" w:firstLineChars="0"/>
                        <w:jc w:val="center"/>
                        <w:rPr>
                          <w:rFonts w:hint="eastAsia"/>
                          <w:sz w:val="21"/>
                          <w:szCs w:val="21"/>
                          <w:highlight w:val="yellow"/>
                          <w:lang w:eastAsia="zh-CN"/>
                        </w:rPr>
                      </w:pPr>
                      <w:r>
                        <w:rPr>
                          <w:rFonts w:hint="eastAsia"/>
                          <w:sz w:val="21"/>
                          <w:szCs w:val="21"/>
                          <w:highlight w:val="yellow"/>
                          <w:lang w:eastAsia="zh-CN"/>
                        </w:rPr>
                        <w:t>本项目调查范围</w:t>
                      </w:r>
                    </w:p>
                    <w:p>
                      <w:pPr>
                        <w:pStyle w:val="15"/>
                        <w:spacing w:line="240" w:lineRule="auto"/>
                        <w:ind w:left="0" w:leftChars="0" w:firstLine="0" w:firstLineChars="0"/>
                        <w:jc w:val="center"/>
                        <w:rPr>
                          <w:rFonts w:hint="default"/>
                          <w:sz w:val="21"/>
                          <w:szCs w:val="21"/>
                          <w:highlight w:val="yellow"/>
                          <w:lang w:val="en-US" w:eastAsia="zh-CN"/>
                        </w:rPr>
                      </w:pPr>
                      <w:r>
                        <w:rPr>
                          <w:rFonts w:hint="default" w:ascii="Times New Roman" w:hAnsi="Times New Roman" w:cs="Times New Roman" w:eastAsiaTheme="majorEastAsia"/>
                          <w:color w:val="auto"/>
                          <w:kern w:val="0"/>
                          <w:sz w:val="21"/>
                          <w:szCs w:val="21"/>
                          <w:highlight w:val="yellow"/>
                          <w:lang w:val="en-US" w:eastAsia="zh-CN" w:bidi="ar-SA"/>
                        </w:rPr>
                        <w:t>33333.4</w:t>
                      </w:r>
                      <w:r>
                        <w:rPr>
                          <w:rFonts w:hint="eastAsia" w:ascii="Times New Roman" w:hAnsi="Times New Roman" w:cs="Times New Roman" w:eastAsiaTheme="majorEastAsia"/>
                          <w:color w:val="auto"/>
                          <w:kern w:val="0"/>
                          <w:sz w:val="21"/>
                          <w:szCs w:val="21"/>
                          <w:highlight w:val="yellow"/>
                          <w:lang w:val="en-US" w:eastAsia="zh-CN" w:bidi="ar-SA"/>
                        </w:rPr>
                        <w:t>m</w:t>
                      </w:r>
                      <w:r>
                        <w:rPr>
                          <w:rFonts w:hint="eastAsia" w:ascii="Times New Roman" w:hAnsi="Times New Roman" w:cs="Times New Roman" w:eastAsiaTheme="majorEastAsia"/>
                          <w:color w:val="auto"/>
                          <w:kern w:val="0"/>
                          <w:sz w:val="21"/>
                          <w:szCs w:val="21"/>
                          <w:highlight w:val="yellow"/>
                          <w:vertAlign w:val="superscript"/>
                          <w:lang w:val="en-US" w:eastAsia="zh-CN" w:bidi="ar-SA"/>
                        </w:rPr>
                        <w:t>2</w:t>
                      </w:r>
                      <w:r>
                        <w:rPr>
                          <w:rFonts w:hint="eastAsia"/>
                          <w:sz w:val="21"/>
                          <w:szCs w:val="21"/>
                          <w:highlight w:val="yellow"/>
                          <w:lang w:val="en-US" w:eastAsia="zh-CN"/>
                        </w:rPr>
                        <w:t>（约50亩）</w:t>
                      </w:r>
                    </w:p>
                  </w:txbxContent>
                </v:textbox>
              </v:shape>
            </w:pict>
          </mc:Fallback>
        </mc:AlternateContent>
      </w:r>
      <w:r>
        <w:rPr>
          <w:rFonts w:hint="default" w:ascii="Times New Roman" w:hAnsi="Times New Roman" w:eastAsia="宋体" w:cs="Times New Roman"/>
          <w:b/>
          <w:bCs/>
          <w:color w:val="auto"/>
          <w:lang w:val="en-US" w:eastAsia="zh-CN"/>
        </w:rPr>
        <w:drawing>
          <wp:anchor distT="0" distB="0" distL="114935" distR="114935" simplePos="0" relativeHeight="252180480" behindDoc="0" locked="0" layoutInCell="1" allowOverlap="1">
            <wp:simplePos x="0" y="0"/>
            <wp:positionH relativeFrom="column">
              <wp:posOffset>289560</wp:posOffset>
            </wp:positionH>
            <wp:positionV relativeFrom="paragraph">
              <wp:posOffset>121285</wp:posOffset>
            </wp:positionV>
            <wp:extent cx="4982845" cy="4032885"/>
            <wp:effectExtent l="0" t="0" r="8255" b="5715"/>
            <wp:wrapSquare wrapText="bothSides"/>
            <wp:docPr id="2" name="图片 2" descr="3dbea3727492e31a446f8ba08d40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dbea3727492e31a446f8ba08d408cf"/>
                    <pic:cNvPicPr>
                      <a:picLocks noChangeAspect="1"/>
                    </pic:cNvPicPr>
                  </pic:nvPicPr>
                  <pic:blipFill>
                    <a:blip r:embed="rId10"/>
                    <a:stretch>
                      <a:fillRect/>
                    </a:stretch>
                  </pic:blipFill>
                  <pic:spPr>
                    <a:xfrm>
                      <a:off x="0" y="0"/>
                      <a:ext cx="4982845" cy="4032885"/>
                    </a:xfrm>
                    <a:prstGeom prst="rect">
                      <a:avLst/>
                    </a:prstGeom>
                  </pic:spPr>
                </pic:pic>
              </a:graphicData>
            </a:graphic>
          </wp:anchor>
        </w:drawing>
      </w:r>
      <w:r>
        <w:rPr>
          <w:rFonts w:hint="default" w:ascii="Times New Roman" w:hAnsi="Times New Roman" w:eastAsia="宋体" w:cs="Times New Roman"/>
          <w:b/>
          <w:bCs/>
          <w:color w:val="auto"/>
          <w:lang w:val="en-US" w:eastAsia="zh-CN"/>
        </w:rPr>
        <w:t xml:space="preserve">图1.3-1  </w:t>
      </w:r>
      <w:r>
        <w:rPr>
          <w:rFonts w:hint="default" w:ascii="Times New Roman" w:hAnsi="Times New Roman" w:eastAsia="宋体" w:cs="Times New Roman"/>
          <w:b/>
          <w:bCs/>
          <w:color w:val="auto"/>
        </w:rPr>
        <w:t>调查范围图</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5" w:name="_Toc20127"/>
      <w:r>
        <w:rPr>
          <w:rFonts w:hint="default" w:ascii="Times New Roman" w:hAnsi="Times New Roman" w:eastAsia="宋体" w:cs="Times New Roman"/>
          <w:color w:val="auto"/>
          <w:lang w:val="en-US" w:eastAsia="zh-CN"/>
        </w:rPr>
        <w:t>1.3.3 周边环境及周边环境敏感目标</w:t>
      </w:r>
      <w:bookmarkEnd w:id="15"/>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1.3.3.1 周边环境关系</w:t>
      </w:r>
    </w:p>
    <w:p>
      <w:pPr>
        <w:pStyle w:val="15"/>
        <w:pageBreakBefore w:val="0"/>
        <w:kinsoku/>
        <w:wordWrap/>
        <w:overflowPunct/>
        <w:topLinePunct w:val="0"/>
        <w:bidi w:val="0"/>
        <w:spacing w:line="360" w:lineRule="auto"/>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按照场地周边踏勘情况，邢台兴安液压机械有限公司四周均为</w:t>
      </w:r>
      <w:r>
        <w:rPr>
          <w:rFonts w:hint="default" w:ascii="Times New Roman" w:hAnsi="Times New Roman" w:cs="Times New Roman"/>
          <w:color w:val="auto"/>
          <w:lang w:eastAsia="zh-CN"/>
        </w:rPr>
        <w:t>工业企业</w:t>
      </w:r>
      <w:r>
        <w:rPr>
          <w:rFonts w:hint="default" w:ascii="Times New Roman" w:hAnsi="Times New Roman" w:eastAsia="宋体" w:cs="Times New Roman"/>
          <w:color w:val="auto"/>
          <w:lang w:eastAsia="zh-CN"/>
        </w:rPr>
        <w:t>。其中场地</w:t>
      </w:r>
      <w:r>
        <w:rPr>
          <w:rFonts w:hint="default" w:ascii="Times New Roman" w:hAnsi="Times New Roman" w:eastAsia="宋体" w:cs="Times New Roman"/>
          <w:color w:val="auto"/>
          <w:lang w:val="en-US" w:eastAsia="zh-CN"/>
        </w:rPr>
        <w:t>东侧是邢台市农药厂；北侧为任县金丰工贸有限公司；南侧隔永康街为河北刑工机械制造有限公司；西侧隔顺德路为邢台顺达铁路配件有限公司。项目周边关系见图1.3-2。</w:t>
      </w:r>
    </w:p>
    <w:p>
      <w:pPr>
        <w:pStyle w:val="15"/>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anchor distT="0" distB="0" distL="114300" distR="114300" simplePos="0" relativeHeight="3415227392" behindDoc="0" locked="0" layoutInCell="1" allowOverlap="1">
            <wp:simplePos x="0" y="0"/>
            <wp:positionH relativeFrom="column">
              <wp:posOffset>4625975</wp:posOffset>
            </wp:positionH>
            <wp:positionV relativeFrom="paragraph">
              <wp:posOffset>19685</wp:posOffset>
            </wp:positionV>
            <wp:extent cx="512445" cy="695325"/>
            <wp:effectExtent l="0" t="0" r="1905" b="9525"/>
            <wp:wrapNone/>
            <wp:docPr id="111" name="图片 2" descr="157602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descr="1576029038"/>
                    <pic:cNvPicPr>
                      <a:picLocks noChangeAspect="1"/>
                    </pic:cNvPicPr>
                  </pic:nvPicPr>
                  <pic:blipFill>
                    <a:blip r:embed="rId9"/>
                    <a:stretch>
                      <a:fillRect/>
                    </a:stretch>
                  </pic:blipFill>
                  <pic:spPr>
                    <a:xfrm>
                      <a:off x="0" y="0"/>
                      <a:ext cx="512445" cy="695325"/>
                    </a:xfrm>
                    <a:prstGeom prst="rect">
                      <a:avLst/>
                    </a:prstGeom>
                    <a:noFill/>
                    <a:ln>
                      <a:noFill/>
                    </a:ln>
                  </pic:spPr>
                </pic:pic>
              </a:graphicData>
            </a:graphic>
          </wp:anchor>
        </w:drawing>
      </w:r>
      <w:r>
        <w:rPr>
          <w:rFonts w:hint="default" w:ascii="Times New Roman" w:hAnsi="Times New Roman" w:eastAsia="宋体" w:cs="Times New Roman"/>
          <w:color w:val="auto"/>
          <w:lang w:val="en-US" w:eastAsia="zh-CN"/>
        </w:rPr>
        <w:drawing>
          <wp:inline distT="0" distB="0" distL="114300" distR="114300">
            <wp:extent cx="5031740" cy="3773805"/>
            <wp:effectExtent l="0" t="0" r="16510" b="17145"/>
            <wp:docPr id="113" name="图片 113" descr="fa09be92fbcaf2f0b40177d38635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fa09be92fbcaf2f0b40177d386356e6"/>
                    <pic:cNvPicPr>
                      <a:picLocks noChangeAspect="1"/>
                    </pic:cNvPicPr>
                  </pic:nvPicPr>
                  <pic:blipFill>
                    <a:blip r:embed="rId11"/>
                    <a:stretch>
                      <a:fillRect/>
                    </a:stretch>
                  </pic:blipFill>
                  <pic:spPr>
                    <a:xfrm>
                      <a:off x="0" y="0"/>
                      <a:ext cx="5031740" cy="3773805"/>
                    </a:xfrm>
                    <a:prstGeom prst="rect">
                      <a:avLst/>
                    </a:prstGeom>
                  </pic:spPr>
                </pic:pic>
              </a:graphicData>
            </a:graphic>
          </wp:inline>
        </w:drawing>
      </w:r>
      <w:r>
        <w:rPr>
          <w:rFonts w:hint="default" w:ascii="Times New Roman" w:hAnsi="Times New Roman" w:eastAsia="宋体" w:cs="Times New Roman"/>
          <w:color w:val="auto"/>
          <w:sz w:val="24"/>
        </w:rPr>
        <mc:AlternateContent>
          <mc:Choice Requires="wps">
            <w:drawing>
              <wp:anchor distT="0" distB="0" distL="114300" distR="114300" simplePos="0" relativeHeight="2388233216" behindDoc="0" locked="0" layoutInCell="1" allowOverlap="1">
                <wp:simplePos x="0" y="0"/>
                <wp:positionH relativeFrom="column">
                  <wp:posOffset>780415</wp:posOffset>
                </wp:positionH>
                <wp:positionV relativeFrom="paragraph">
                  <wp:posOffset>1541780</wp:posOffset>
                </wp:positionV>
                <wp:extent cx="1102995" cy="65849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102995" cy="658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邢台顺达铁路</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配件有限公司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45pt;margin-top:121.4pt;height:51.85pt;width:86.85pt;z-index:-1906734080;mso-width-relative:page;mso-height-relative:page;" filled="f" stroked="f" coordsize="21600,21600" o:gfxdata="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c6v&#10;3NsAAAALAQAADwAAAAAAAAABACAAAAAiAAAAZHJzL2Rvd25yZXYueG1sUEsBAhQAFAAAAAgAh07i&#10;QOrtAFUfAgAAHAQAAA4AAAAAAAAAAQAgAAAAKgEAAGRycy9lMm9Eb2MueG1sUEsFBgAAAAAGAAYA&#10;WQEAALs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邢台顺达铁路</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配件有限公司</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252262400" behindDoc="0" locked="0" layoutInCell="1" allowOverlap="1">
                <wp:simplePos x="0" y="0"/>
                <wp:positionH relativeFrom="column">
                  <wp:posOffset>3151505</wp:posOffset>
                </wp:positionH>
                <wp:positionV relativeFrom="paragraph">
                  <wp:posOffset>1644015</wp:posOffset>
                </wp:positionV>
                <wp:extent cx="1570355" cy="34734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570355" cy="347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邢台市农药厂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15pt;margin-top:129.45pt;height:27.35pt;width:123.65pt;z-index:-2042704896;mso-width-relative:page;mso-height-relative:page;" filled="f" stroked="f" coordsize="21600,21600" o:gfxdata="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hYPy3QAAAAsBAAAPAAAAAAAAAAEAIAAAACIAAABkcnMvZG93bnJldi54bWxQSwECFAAUAAAACACH&#10;TuJAqa8UxB8CAAAcBAAADgAAAAAAAAABACAAAAAsAQAAZHJzL2Uyb0RvYy54bWxQSwUGAAAAAAYA&#10;BgBZAQAAvQUAAAAA&#10;">
                <v:fill on="f" focussize="0,0"/>
                <v:stroke on="f" weight="0.5pt"/>
                <v:imagedata o:title=""/>
                <o:lock v:ext="edit" aspectratio="f"/>
                <v:textbox>
                  <w:txbxContent>
                    <w:p>
                      <w:pPr>
                        <w:ind w:left="0" w:leftChars="0" w:firstLine="0" w:firstLineChars="0"/>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邢台市农药厂</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320247808" behindDoc="0" locked="0" layoutInCell="1" allowOverlap="1">
                <wp:simplePos x="0" y="0"/>
                <wp:positionH relativeFrom="column">
                  <wp:posOffset>2169795</wp:posOffset>
                </wp:positionH>
                <wp:positionV relativeFrom="paragraph">
                  <wp:posOffset>2593340</wp:posOffset>
                </wp:positionV>
                <wp:extent cx="1266190" cy="59499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266190" cy="594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河北刑工机械制造</w:t>
                            </w:r>
                          </w:p>
                          <w:p>
                            <w:pPr>
                              <w:ind w:left="0" w:leftChars="0" w:firstLine="0" w:firstLineChars="0"/>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85pt;margin-top:204.2pt;height:46.85pt;width:99.7pt;z-index:-1974719488;mso-width-relative:page;mso-height-relative:page;" filled="f" stroked="f" coordsize="21600,21600" o:gfxdata="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Ny&#10;MyHbAAAACwEAAA8AAAAAAAAAAQAgAAAAIgAAAGRycy9kb3ducmV2LnhtbFBLAQIUABQAAAAIAIdO&#10;4kA/fdnyIAIAABwEAAAOAAAAAAAAAAEAIAAAACoBAABkcnMvZTJvRG9jLnhtbFBLBQYAAAAABgAG&#10;AFkBAAC8BQAAAAA=&#10;">
                <v:fill on="f" focussize="0,0"/>
                <v:stroke on="f" weight="0.5pt"/>
                <v:imagedata o:title=""/>
                <o:lock v:ext="edit" aspectratio="f"/>
                <v:textbox>
                  <w:txbxContent>
                    <w:p>
                      <w:pPr>
                        <w:ind w:left="0" w:leftChars="0" w:firstLine="0" w:firstLineChars="0"/>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河北刑工机械制造</w:t>
                      </w:r>
                    </w:p>
                    <w:p>
                      <w:pPr>
                        <w:ind w:left="0" w:leftChars="0" w:firstLine="0" w:firstLineChars="0"/>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有限公司</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184276992" behindDoc="0" locked="0" layoutInCell="1" allowOverlap="1">
                <wp:simplePos x="0" y="0"/>
                <wp:positionH relativeFrom="column">
                  <wp:posOffset>2037715</wp:posOffset>
                </wp:positionH>
                <wp:positionV relativeFrom="paragraph">
                  <wp:posOffset>989330</wp:posOffset>
                </wp:positionV>
                <wp:extent cx="1130300" cy="54673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130300" cy="546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任县金丰工贸</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5pt;margin-top:77.9pt;height:43.05pt;width:89pt;z-index:-2110690304;mso-width-relative:page;mso-height-relative:page;" filled="f" stroked="f" coordsize="21600,21600" o:gfxdata="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2gf&#10;v9sAAAALAQAADwAAAAAAAAABACAAAAAiAAAAZHJzL2Rvd25yZXYueG1sUEsBAhQAFAAAAAgAh07i&#10;QC39vpEfAgAAHAQAAA4AAAAAAAAAAQAgAAAAKgEAAGRycy9lMm9Eb2MueG1sUEsFBgAAAAAGAAYA&#10;WQEAALs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任县金丰工贸</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eastAsiaTheme="major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FFC000" w:themeColor="accent4"/>
                          <w:sz w:val="21"/>
                          <w:szCs w:val="21"/>
                          <w:highlight w:val="no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有限公司</w:t>
                      </w:r>
                    </w:p>
                  </w:txbxContent>
                </v:textbox>
              </v:shape>
            </w:pict>
          </mc:Fallback>
        </mc:AlternateContent>
      </w:r>
    </w:p>
    <w:p>
      <w:pPr>
        <w:pStyle w:val="15"/>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 xml:space="preserve">图1.3-2  </w:t>
      </w:r>
      <w:r>
        <w:rPr>
          <w:rFonts w:hint="default" w:ascii="Times New Roman" w:hAnsi="Times New Roman" w:eastAsia="宋体" w:cs="Times New Roman"/>
          <w:b/>
          <w:bCs/>
          <w:color w:val="auto"/>
          <w:lang w:eastAsia="zh-CN"/>
        </w:rPr>
        <w:t>项目周边环境关系图</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1.3.3.2 周边环境敏感目标</w:t>
      </w:r>
    </w:p>
    <w:p>
      <w:pPr>
        <w:pageBreakBefore w:val="0"/>
        <w:kinsoku/>
        <w:wordWrap/>
        <w:overflowPunct/>
        <w:topLinePunct w:val="0"/>
        <w:bidi w:val="0"/>
        <w:spacing w:line="360" w:lineRule="auto"/>
        <w:rPr>
          <w:rFonts w:hint="default" w:ascii="Times New Roman" w:hAnsi="Times New Roman" w:eastAsia="宋体" w:cs="Times New Roman"/>
          <w:color w:val="auto"/>
          <w:kern w:val="0"/>
          <w:sz w:val="24"/>
          <w:szCs w:val="28"/>
          <w:lang w:val="en-US" w:eastAsia="zh-CN" w:bidi="ar-SA"/>
        </w:rPr>
      </w:pPr>
      <w:r>
        <w:rPr>
          <w:rFonts w:hint="default" w:ascii="Times New Roman" w:hAnsi="Times New Roman" w:eastAsia="宋体" w:cs="Times New Roman"/>
          <w:color w:val="auto"/>
          <w:kern w:val="0"/>
          <w:sz w:val="24"/>
          <w:szCs w:val="28"/>
          <w:lang w:val="en-US" w:eastAsia="zh-CN" w:bidi="ar-SA"/>
        </w:rPr>
        <w:t>据调查，本项目场地位于任县工业区内，场地周边环境敏感目标主要为周边村庄，其中西北侧间隔820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m为吴岳村，东北侧间隔1220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m为西许花村，西南侧间隔350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m为寺庄村，东侧间隔990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m为畅家屯村，东南侧间隔1000</w:t>
      </w:r>
      <w:r>
        <w:rPr>
          <w:rFonts w:hint="eastAsia" w:eastAsia="宋体" w:cs="Times New Roman"/>
          <w:color w:val="auto"/>
          <w:kern w:val="0"/>
          <w:sz w:val="24"/>
          <w:szCs w:val="28"/>
          <w:lang w:val="en-US" w:eastAsia="zh-CN" w:bidi="ar-SA"/>
        </w:rPr>
        <w:t xml:space="preserve"> </w:t>
      </w:r>
      <w:r>
        <w:rPr>
          <w:rFonts w:hint="default" w:ascii="Times New Roman" w:hAnsi="Times New Roman" w:eastAsia="宋体" w:cs="Times New Roman"/>
          <w:color w:val="auto"/>
          <w:kern w:val="0"/>
          <w:sz w:val="24"/>
          <w:szCs w:val="28"/>
          <w:lang w:val="en-US" w:eastAsia="zh-CN" w:bidi="ar-SA"/>
        </w:rPr>
        <w:t>m为北章固村。周边环境敏感目标情况如图1.3-3所示。</w:t>
      </w:r>
    </w:p>
    <w:p>
      <w:pPr>
        <w:pStyle w:val="15"/>
        <w:pageBreakBefore w:val="0"/>
        <w:kinsoku/>
        <w:wordWrap/>
        <w:overflowPunct/>
        <w:topLinePunct w:val="0"/>
        <w:bidi w:val="0"/>
        <w:spacing w:line="360" w:lineRule="auto"/>
        <w:jc w:val="both"/>
        <w:rPr>
          <w:rFonts w:hint="default" w:ascii="Times New Roman" w:hAnsi="Times New Roman" w:eastAsia="宋体" w:cs="Times New Roman"/>
          <w:color w:val="auto"/>
          <w:lang w:val="en-US"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anchor distT="0" distB="0" distL="114300" distR="114300" simplePos="0" relativeHeight="3415227392" behindDoc="0" locked="0" layoutInCell="1" allowOverlap="1">
            <wp:simplePos x="0" y="0"/>
            <wp:positionH relativeFrom="column">
              <wp:posOffset>4583430</wp:posOffset>
            </wp:positionH>
            <wp:positionV relativeFrom="paragraph">
              <wp:posOffset>107950</wp:posOffset>
            </wp:positionV>
            <wp:extent cx="512445" cy="695325"/>
            <wp:effectExtent l="0" t="0" r="1905" b="9525"/>
            <wp:wrapNone/>
            <wp:docPr id="110" name="图片 2" descr="157602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descr="1576029038"/>
                    <pic:cNvPicPr>
                      <a:picLocks noChangeAspect="1"/>
                    </pic:cNvPicPr>
                  </pic:nvPicPr>
                  <pic:blipFill>
                    <a:blip r:embed="rId9"/>
                    <a:stretch>
                      <a:fillRect/>
                    </a:stretch>
                  </pic:blipFill>
                  <pic:spPr>
                    <a:xfrm>
                      <a:off x="0" y="0"/>
                      <a:ext cx="512445" cy="695325"/>
                    </a:xfrm>
                    <a:prstGeom prst="rect">
                      <a:avLst/>
                    </a:prstGeom>
                    <a:noFill/>
                    <a:ln>
                      <a:noFill/>
                    </a:ln>
                  </pic:spPr>
                </pic:pic>
              </a:graphicData>
            </a:graphic>
          </wp:anchor>
        </w:drawing>
      </w:r>
      <w:r>
        <w:rPr>
          <w:rFonts w:hint="default" w:ascii="Times New Roman" w:hAnsi="Times New Roman" w:eastAsia="宋体" w:cs="Times New Roman"/>
          <w:color w:val="auto"/>
        </w:rPr>
        <w:drawing>
          <wp:inline distT="0" distB="0" distL="114300" distR="114300">
            <wp:extent cx="4963795" cy="4175760"/>
            <wp:effectExtent l="0" t="0" r="8255" b="15240"/>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12"/>
                    <a:stretch>
                      <a:fillRect/>
                    </a:stretch>
                  </pic:blipFill>
                  <pic:spPr>
                    <a:xfrm>
                      <a:off x="0" y="0"/>
                      <a:ext cx="4963795" cy="4175760"/>
                    </a:xfrm>
                    <a:prstGeom prst="rect">
                      <a:avLst/>
                    </a:prstGeom>
                    <a:noFill/>
                    <a:ln>
                      <a:noFill/>
                    </a:ln>
                  </pic:spPr>
                </pic:pic>
              </a:graphicData>
            </a:graphic>
          </wp:inline>
        </w:drawing>
      </w:r>
    </w:p>
    <w:p>
      <w:pPr>
        <w:pStyle w:val="15"/>
        <w:pageBreakBefore w:val="0"/>
        <w:kinsoku/>
        <w:wordWrap/>
        <w:overflowPunct/>
        <w:topLinePunct w:val="0"/>
        <w:bidi w:val="0"/>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图1.3-3  项目周边环境敏感目标图</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16" w:name="_Toc533409827"/>
      <w:bookmarkStart w:id="17" w:name="_Toc28790"/>
      <w:r>
        <w:rPr>
          <w:rFonts w:hint="default" w:ascii="Times New Roman" w:hAnsi="Times New Roman" w:eastAsia="宋体" w:cs="Times New Roman"/>
          <w:color w:val="auto"/>
          <w:sz w:val="28"/>
          <w:szCs w:val="28"/>
          <w:lang w:val="en-US" w:eastAsia="zh-CN"/>
        </w:rPr>
        <w:t>1.4 技术路线</w:t>
      </w:r>
      <w:bookmarkEnd w:id="16"/>
      <w:bookmarkEnd w:id="17"/>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土壤环境监测工作内容一般包括：工作准备、基本信息核实、资料收集、现场勘查、信息整理与填报、识别疑似污染区域、筛选布点区域、制定布点计划、采样点现场确定、编制布点方案、采样方案设计、采样准备、土孔钻探、土壤样品采集、样品保存和流转、样品检测分析、监测结果评估、编制土壤环境质量状况报告。</w:t>
      </w:r>
    </w:p>
    <w:p>
      <w:pPr>
        <w:pageBreakBefore w:val="0"/>
        <w:kinsoku/>
        <w:wordWrap/>
        <w:overflowPunct/>
        <w:topLinePunct w:val="0"/>
        <w:bidi w:val="0"/>
        <w:spacing w:line="360" w:lineRule="auto"/>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本项目环境质量状况调查技术路线见图1.4-1。</w:t>
      </w:r>
    </w:p>
    <w:p>
      <w:pPr>
        <w:pStyle w:val="2"/>
        <w:pageBreakBefore w:val="0"/>
        <w:kinsoku/>
        <w:wordWrap/>
        <w:overflowPunct/>
        <w:topLinePunct w:val="0"/>
        <w:bidi w:val="0"/>
        <w:spacing w:line="360" w:lineRule="auto"/>
        <w:ind w:firstLine="48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mc:AlternateContent>
          <mc:Choice Requires="wpg">
            <w:drawing>
              <wp:inline distT="0" distB="0" distL="114300" distR="114300">
                <wp:extent cx="3149600" cy="8430895"/>
                <wp:effectExtent l="27305" t="4445" r="23495" b="22860"/>
                <wp:docPr id="97" name="组合 97"/>
                <wp:cNvGraphicFramePr/>
                <a:graphic xmlns:a="http://schemas.openxmlformats.org/drawingml/2006/main">
                  <a:graphicData uri="http://schemas.microsoft.com/office/word/2010/wordprocessingGroup">
                    <wpg:wgp>
                      <wpg:cNvGrpSpPr>
                        <a:grpSpLocks noRot="1"/>
                      </wpg:cNvGrpSpPr>
                      <wpg:grpSpPr>
                        <a:xfrm>
                          <a:off x="0" y="0"/>
                          <a:ext cx="3149600" cy="8430895"/>
                          <a:chOff x="3902" y="1465"/>
                          <a:chExt cx="4960" cy="13516"/>
                        </a:xfrm>
                      </wpg:grpSpPr>
                      <wps:wsp>
                        <wps:cNvPr id="35" name="文本框 35"/>
                        <wps:cNvSpPr txBox="1"/>
                        <wps:spPr>
                          <a:xfrm>
                            <a:off x="6181" y="10994"/>
                            <a:ext cx="431" cy="390"/>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是</w:t>
                              </w:r>
                            </w:p>
                          </w:txbxContent>
                        </wps:txbx>
                        <wps:bodyPr lIns="0" tIns="0" rIns="0" bIns="0" upright="1"/>
                      </wps:wsp>
                      <wpg:grpSp>
                        <wpg:cNvPr id="96" name="组合 96"/>
                        <wpg:cNvGrpSpPr/>
                        <wpg:grpSpPr>
                          <a:xfrm>
                            <a:off x="3902" y="1465"/>
                            <a:ext cx="4960" cy="13516"/>
                            <a:chOff x="3902" y="1465"/>
                            <a:chExt cx="4960" cy="13516"/>
                          </a:xfrm>
                        </wpg:grpSpPr>
                        <wps:wsp>
                          <wps:cNvPr id="36" name="文本框 36"/>
                          <wps:cNvSpPr txBox="1"/>
                          <wps:spPr>
                            <a:xfrm>
                              <a:off x="8389" y="10346"/>
                              <a:ext cx="431" cy="390"/>
                            </a:xfrm>
                            <a:prstGeom prst="rect">
                              <a:avLst/>
                            </a:prstGeom>
                            <a:noFill/>
                            <a:ln>
                              <a:noFill/>
                            </a:ln>
                          </wps:spPr>
                          <wps:txbx>
                            <w:txbxContent>
                              <w:p>
                                <w:pPr>
                                  <w:spacing w:line="240" w:lineRule="auto"/>
                                  <w:ind w:firstLine="0" w:firstLineChars="0"/>
                                  <w:jc w:val="center"/>
                                  <w:rPr>
                                    <w:sz w:val="21"/>
                                    <w:szCs w:val="21"/>
                                  </w:rPr>
                                </w:pPr>
                                <w:r>
                                  <w:rPr>
                                    <w:rFonts w:hint="eastAsia"/>
                                    <w:sz w:val="21"/>
                                    <w:szCs w:val="21"/>
                                  </w:rPr>
                                  <w:t>否</w:t>
                                </w:r>
                              </w:p>
                            </w:txbxContent>
                          </wps:txbx>
                          <wps:bodyPr lIns="0" tIns="0" rIns="0" bIns="0" upright="1"/>
                        </wps:wsp>
                        <wpg:grpSp>
                          <wpg:cNvPr id="95" name="组合 95"/>
                          <wpg:cNvGrpSpPr/>
                          <wpg:grpSpPr>
                            <a:xfrm>
                              <a:off x="3902" y="1465"/>
                              <a:ext cx="4960" cy="13516"/>
                              <a:chOff x="3902" y="1465"/>
                              <a:chExt cx="4960" cy="13516"/>
                            </a:xfrm>
                          </wpg:grpSpPr>
                          <wps:wsp>
                            <wps:cNvPr id="37" name="流程图: 决策 37"/>
                            <wps:cNvSpPr/>
                            <wps:spPr>
                              <a:xfrm>
                                <a:off x="3902" y="10258"/>
                                <a:ext cx="4452" cy="794"/>
                              </a:xfrm>
                              <a:prstGeom prst="flowChartDecision">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是否需要地下水采样</w:t>
                                  </w:r>
                                </w:p>
                              </w:txbxContent>
                            </wps:txbx>
                            <wps:bodyPr lIns="0" tIns="0" rIns="0" bIns="0" upright="1"/>
                          </wps:wsp>
                          <wpg:grpSp>
                            <wpg:cNvPr id="94" name="组合 94"/>
                            <wpg:cNvGrpSpPr/>
                            <wpg:grpSpPr>
                              <a:xfrm>
                                <a:off x="4095" y="1465"/>
                                <a:ext cx="4767" cy="13516"/>
                                <a:chOff x="4095" y="1465"/>
                                <a:chExt cx="4767" cy="13516"/>
                              </a:xfrm>
                            </wpg:grpSpPr>
                            <wps:wsp>
                              <wps:cNvPr id="38" name="文本框 38"/>
                              <wps:cNvSpPr txBox="1"/>
                              <wps:spPr>
                                <a:xfrm>
                                  <a:off x="6242" y="4015"/>
                                  <a:ext cx="564" cy="1016"/>
                                </a:xfrm>
                                <a:prstGeom prst="rect">
                                  <a:avLst/>
                                </a:prstGeom>
                                <a:solidFill>
                                  <a:srgbClr val="FFFFFF"/>
                                </a:solidFill>
                                <a:ln w="6350">
                                  <a:noFill/>
                                </a:ln>
                              </wps:spPr>
                              <wps:txbx>
                                <w:txbxContent>
                                  <w:p>
                                    <w:pPr>
                                      <w:spacing w:line="240" w:lineRule="auto"/>
                                      <w:ind w:firstLine="0" w:firstLineChars="0"/>
                                      <w:rPr>
                                        <w:sz w:val="21"/>
                                        <w:szCs w:val="21"/>
                                      </w:rPr>
                                    </w:pPr>
                                    <w:r>
                                      <w:rPr>
                                        <w:rFonts w:hint="eastAsia"/>
                                        <w:sz w:val="21"/>
                                        <w:szCs w:val="21"/>
                                      </w:rPr>
                                      <w:t>人员访谈</w:t>
                                    </w:r>
                                  </w:p>
                                </w:txbxContent>
                              </wps:txbx>
                              <wps:bodyPr vert="eaVert" upright="1"/>
                            </wps:wsp>
                            <wpg:grpSp>
                              <wpg:cNvPr id="93" name="组合 93"/>
                              <wpg:cNvGrpSpPr/>
                              <wpg:grpSpPr>
                                <a:xfrm>
                                  <a:off x="4095" y="1465"/>
                                  <a:ext cx="4767" cy="13516"/>
                                  <a:chOff x="4095" y="1465"/>
                                  <a:chExt cx="4767" cy="13516"/>
                                </a:xfrm>
                              </wpg:grpSpPr>
                              <wps:wsp>
                                <wps:cNvPr id="39" name="文本框 39"/>
                                <wps:cNvSpPr txBox="1"/>
                                <wps:spPr>
                                  <a:xfrm>
                                    <a:off x="5351" y="4028"/>
                                    <a:ext cx="564" cy="1016"/>
                                  </a:xfrm>
                                  <a:prstGeom prst="rect">
                                    <a:avLst/>
                                  </a:prstGeom>
                                  <a:solidFill>
                                    <a:srgbClr val="FFFFFF"/>
                                  </a:solidFill>
                                  <a:ln w="6350">
                                    <a:noFill/>
                                  </a:ln>
                                </wps:spPr>
                                <wps:txbx>
                                  <w:txbxContent>
                                    <w:p>
                                      <w:pPr>
                                        <w:spacing w:line="240" w:lineRule="auto"/>
                                        <w:ind w:firstLine="0" w:firstLineChars="0"/>
                                        <w:rPr>
                                          <w:sz w:val="21"/>
                                          <w:szCs w:val="21"/>
                                        </w:rPr>
                                      </w:pPr>
                                      <w:r>
                                        <w:rPr>
                                          <w:rFonts w:hint="eastAsia"/>
                                          <w:sz w:val="21"/>
                                          <w:szCs w:val="21"/>
                                        </w:rPr>
                                        <w:t>现场踏勘</w:t>
                                      </w:r>
                                    </w:p>
                                  </w:txbxContent>
                                </wps:txbx>
                                <wps:bodyPr vert="eaVert" upright="1"/>
                              </wps:wsp>
                              <wpg:grpSp>
                                <wpg:cNvPr id="92" name="组合 92"/>
                                <wpg:cNvGrpSpPr/>
                                <wpg:grpSpPr>
                                  <a:xfrm>
                                    <a:off x="4095" y="1465"/>
                                    <a:ext cx="4767" cy="13516"/>
                                    <a:chOff x="4095" y="1465"/>
                                    <a:chExt cx="4767" cy="13516"/>
                                  </a:xfrm>
                                </wpg:grpSpPr>
                                <wps:wsp>
                                  <wps:cNvPr id="40" name="文本框 40"/>
                                  <wps:cNvSpPr txBox="1"/>
                                  <wps:spPr>
                                    <a:xfrm>
                                      <a:off x="5433" y="3727"/>
                                      <a:ext cx="1253" cy="343"/>
                                    </a:xfrm>
                                    <a:prstGeom prst="rect">
                                      <a:avLst/>
                                    </a:prstGeom>
                                    <a:solidFill>
                                      <a:srgbClr val="FFFFFF"/>
                                    </a:solidFill>
                                    <a:ln w="6350">
                                      <a:noFill/>
                                    </a:ln>
                                  </wps:spPr>
                                  <wps:txbx>
                                    <w:txbxContent>
                                      <w:p>
                                        <w:pPr>
                                          <w:spacing w:line="240" w:lineRule="auto"/>
                                          <w:ind w:firstLine="0" w:firstLineChars="0"/>
                                          <w:jc w:val="center"/>
                                          <w:rPr>
                                            <w:sz w:val="21"/>
                                            <w:szCs w:val="21"/>
                                          </w:rPr>
                                        </w:pPr>
                                        <w:r>
                                          <w:rPr>
                                            <w:rFonts w:hint="eastAsia"/>
                                            <w:sz w:val="21"/>
                                            <w:szCs w:val="21"/>
                                          </w:rPr>
                                          <w:t>现场勘查</w:t>
                                        </w:r>
                                      </w:p>
                                    </w:txbxContent>
                                  </wps:txbx>
                                  <wps:bodyPr lIns="0" tIns="0" rIns="0" bIns="0" upright="1"/>
                                </wps:wsp>
                                <wpg:grpSp>
                                  <wpg:cNvPr id="91" name="组合 91"/>
                                  <wpg:cNvGrpSpPr/>
                                  <wpg:grpSpPr>
                                    <a:xfrm>
                                      <a:off x="4095" y="1465"/>
                                      <a:ext cx="4767" cy="13516"/>
                                      <a:chOff x="4095" y="1465"/>
                                      <a:chExt cx="4767" cy="13516"/>
                                    </a:xfrm>
                                  </wpg:grpSpPr>
                                  <wpg:grpSp>
                                    <wpg:cNvPr id="44" name="组合 44"/>
                                    <wpg:cNvGrpSpPr/>
                                    <wpg:grpSpPr>
                                      <a:xfrm>
                                        <a:off x="4095" y="14078"/>
                                        <a:ext cx="4105" cy="903"/>
                                        <a:chOff x="4095" y="14015"/>
                                        <a:chExt cx="4105" cy="903"/>
                                      </a:xfrm>
                                    </wpg:grpSpPr>
                                    <wps:wsp>
                                      <wps:cNvPr id="41" name="文本框 41"/>
                                      <wps:cNvSpPr txBox="1"/>
                                      <wps:spPr>
                                        <a:xfrm>
                                          <a:off x="4095" y="14575"/>
                                          <a:ext cx="410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编制土壤环境污染隐患排查及质量状况报告</w:t>
                                            </w:r>
                                          </w:p>
                                        </w:txbxContent>
                                      </wps:txbx>
                                      <wps:bodyPr lIns="0" tIns="0" rIns="0" bIns="0" upright="1"/>
                                    </wps:wsp>
                                    <wps:wsp>
                                      <wps:cNvPr id="42" name="直接箭头连接符 42"/>
                                      <wps:cNvCnPr/>
                                      <wps:spPr>
                                        <a:xfrm>
                                          <a:off x="6153" y="14361"/>
                                          <a:ext cx="0" cy="231"/>
                                        </a:xfrm>
                                        <a:prstGeom prst="straightConnector1">
                                          <a:avLst/>
                                        </a:prstGeom>
                                        <a:ln w="9525" cap="flat" cmpd="sng">
                                          <a:solidFill>
                                            <a:srgbClr val="000000"/>
                                          </a:solidFill>
                                          <a:prstDash val="solid"/>
                                          <a:headEnd type="none" w="med" len="med"/>
                                          <a:tailEnd type="triangle" w="med" len="med"/>
                                        </a:ln>
                                      </wps:spPr>
                                      <wps:bodyPr/>
                                    </wps:wsp>
                                    <wps:wsp>
                                      <wps:cNvPr id="43" name="文本框 43"/>
                                      <wps:cNvSpPr txBox="1"/>
                                      <wps:spPr>
                                        <a:xfrm>
                                          <a:off x="5480" y="14015"/>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监测结果评估</w:t>
                                            </w:r>
                                          </w:p>
                                        </w:txbxContent>
                                      </wps:txbx>
                                      <wps:bodyPr lIns="0" tIns="0" rIns="0" bIns="0" upright="1"/>
                                    </wps:wsp>
                                  </wpg:grpSp>
                                  <wpg:grpSp>
                                    <wpg:cNvPr id="59" name="组合 59"/>
                                    <wpg:cNvGrpSpPr/>
                                    <wpg:grpSpPr>
                                      <a:xfrm>
                                        <a:off x="5235" y="10652"/>
                                        <a:ext cx="3627" cy="3414"/>
                                        <a:chOff x="5235" y="10652"/>
                                        <a:chExt cx="3627" cy="3414"/>
                                      </a:xfrm>
                                    </wpg:grpSpPr>
                                    <wps:wsp>
                                      <wps:cNvPr id="45" name="直接箭头连接符 45"/>
                                      <wps:cNvCnPr/>
                                      <wps:spPr>
                                        <a:xfrm>
                                          <a:off x="8361" y="10657"/>
                                          <a:ext cx="496" cy="11"/>
                                        </a:xfrm>
                                        <a:prstGeom prst="straightConnector1">
                                          <a:avLst/>
                                        </a:prstGeom>
                                        <a:ln w="9525" cap="flat" cmpd="sng">
                                          <a:solidFill>
                                            <a:srgbClr val="000000"/>
                                          </a:solidFill>
                                          <a:prstDash val="solid"/>
                                          <a:headEnd type="none" w="med" len="med"/>
                                          <a:tailEnd type="none" w="med" len="med"/>
                                        </a:ln>
                                      </wps:spPr>
                                      <wps:bodyPr/>
                                    </wps:wsp>
                                    <wps:wsp>
                                      <wps:cNvPr id="46" name="直接箭头连接符 46"/>
                                      <wps:cNvCnPr/>
                                      <wps:spPr>
                                        <a:xfrm flipH="1">
                                          <a:off x="8861" y="10652"/>
                                          <a:ext cx="1" cy="1890"/>
                                        </a:xfrm>
                                        <a:prstGeom prst="straightConnector1">
                                          <a:avLst/>
                                        </a:prstGeom>
                                        <a:ln w="9525" cap="flat" cmpd="sng">
                                          <a:solidFill>
                                            <a:srgbClr val="000000"/>
                                          </a:solidFill>
                                          <a:prstDash val="solid"/>
                                          <a:headEnd type="none" w="med" len="med"/>
                                          <a:tailEnd type="none" w="med" len="med"/>
                                        </a:ln>
                                      </wps:spPr>
                                      <wps:bodyPr/>
                                    </wps:wsp>
                                    <wps:wsp>
                                      <wps:cNvPr id="47" name="文本框 47"/>
                                      <wps:cNvSpPr txBox="1"/>
                                      <wps:spPr>
                                        <a:xfrm>
                                          <a:off x="5235" y="11266"/>
                                          <a:ext cx="1760"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地下水采样井建设</w:t>
                                            </w:r>
                                          </w:p>
                                        </w:txbxContent>
                                      </wps:txbx>
                                      <wps:bodyPr lIns="0" tIns="0" rIns="0" bIns="0" upright="1"/>
                                    </wps:wsp>
                                    <wps:wsp>
                                      <wps:cNvPr id="48" name="直接箭头连接符 48"/>
                                      <wps:cNvCnPr/>
                                      <wps:spPr>
                                        <a:xfrm>
                                          <a:off x="6119" y="11074"/>
                                          <a:ext cx="0" cy="231"/>
                                        </a:xfrm>
                                        <a:prstGeom prst="straightConnector1">
                                          <a:avLst/>
                                        </a:prstGeom>
                                        <a:ln w="9525" cap="flat" cmpd="sng">
                                          <a:solidFill>
                                            <a:srgbClr val="000000"/>
                                          </a:solidFill>
                                          <a:prstDash val="solid"/>
                                          <a:headEnd type="none" w="med" len="med"/>
                                          <a:tailEnd type="triangle" w="med" len="med"/>
                                        </a:ln>
                                      </wps:spPr>
                                      <wps:bodyPr/>
                                    </wps:wsp>
                                    <wps:wsp>
                                      <wps:cNvPr id="49" name="直接箭头连接符 49"/>
                                      <wps:cNvCnPr/>
                                      <wps:spPr>
                                        <a:xfrm>
                                          <a:off x="6144" y="13835"/>
                                          <a:ext cx="0" cy="231"/>
                                        </a:xfrm>
                                        <a:prstGeom prst="straightConnector1">
                                          <a:avLst/>
                                        </a:prstGeom>
                                        <a:ln w="9525" cap="flat" cmpd="sng">
                                          <a:solidFill>
                                            <a:srgbClr val="000000"/>
                                          </a:solidFill>
                                          <a:prstDash val="solid"/>
                                          <a:headEnd type="none" w="med" len="med"/>
                                          <a:tailEnd type="triangle" w="med" len="med"/>
                                        </a:ln>
                                      </wps:spPr>
                                      <wps:bodyPr/>
                                    </wps:wsp>
                                    <wps:wsp>
                                      <wps:cNvPr id="50" name="直接箭头连接符 50"/>
                                      <wps:cNvCnPr/>
                                      <wps:spPr>
                                        <a:xfrm flipH="1">
                                          <a:off x="6819" y="12543"/>
                                          <a:ext cx="2042" cy="9"/>
                                        </a:xfrm>
                                        <a:prstGeom prst="straightConnector1">
                                          <a:avLst/>
                                        </a:prstGeom>
                                        <a:ln w="9525" cap="flat" cmpd="sng">
                                          <a:solidFill>
                                            <a:srgbClr val="000000"/>
                                          </a:solidFill>
                                          <a:prstDash val="solid"/>
                                          <a:headEnd type="none" w="med" len="med"/>
                                          <a:tailEnd type="triangle" w="med" len="med"/>
                                        </a:ln>
                                      </wps:spPr>
                                      <wps:bodyPr/>
                                    </wps:wsp>
                                    <wps:wsp>
                                      <wps:cNvPr id="51" name="文本框 51"/>
                                      <wps:cNvSpPr txBox="1"/>
                                      <wps:spPr>
                                        <a:xfrm>
                                          <a:off x="5471" y="13489"/>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样品检测分析</w:t>
                                            </w:r>
                                          </w:p>
                                        </w:txbxContent>
                                      </wps:txbx>
                                      <wps:bodyPr lIns="0" tIns="0" rIns="0" bIns="0" upright="1"/>
                                    </wps:wsp>
                                    <wps:wsp>
                                      <wps:cNvPr id="52" name="直接箭头连接符 52"/>
                                      <wps:cNvCnPr/>
                                      <wps:spPr>
                                        <a:xfrm>
                                          <a:off x="6135" y="13280"/>
                                          <a:ext cx="0" cy="231"/>
                                        </a:xfrm>
                                        <a:prstGeom prst="straightConnector1">
                                          <a:avLst/>
                                        </a:prstGeom>
                                        <a:ln w="9525" cap="flat" cmpd="sng">
                                          <a:solidFill>
                                            <a:srgbClr val="000000"/>
                                          </a:solidFill>
                                          <a:prstDash val="solid"/>
                                          <a:headEnd type="none" w="med" len="med"/>
                                          <a:tailEnd type="triangle" w="med" len="med"/>
                                        </a:ln>
                                      </wps:spPr>
                                      <wps:bodyPr/>
                                    </wps:wsp>
                                    <wps:wsp>
                                      <wps:cNvPr id="53" name="文本框 53"/>
                                      <wps:cNvSpPr txBox="1"/>
                                      <wps:spPr>
                                        <a:xfrm>
                                          <a:off x="5468" y="12943"/>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样品流转</w:t>
                                            </w:r>
                                          </w:p>
                                        </w:txbxContent>
                                      </wps:txbx>
                                      <wps:bodyPr lIns="0" tIns="0" rIns="0" bIns="0" upright="1"/>
                                    </wps:wsp>
                                    <wps:wsp>
                                      <wps:cNvPr id="54" name="直接箭头连接符 54"/>
                                      <wps:cNvCnPr/>
                                      <wps:spPr>
                                        <a:xfrm>
                                          <a:off x="6136" y="12718"/>
                                          <a:ext cx="0" cy="231"/>
                                        </a:xfrm>
                                        <a:prstGeom prst="straightConnector1">
                                          <a:avLst/>
                                        </a:prstGeom>
                                        <a:ln w="9525" cap="flat" cmpd="sng">
                                          <a:solidFill>
                                            <a:srgbClr val="000000"/>
                                          </a:solidFill>
                                          <a:prstDash val="solid"/>
                                          <a:headEnd type="none" w="med" len="med"/>
                                          <a:tailEnd type="triangle" w="med" len="med"/>
                                        </a:ln>
                                      </wps:spPr>
                                      <wps:bodyPr/>
                                    </wps:wsp>
                                    <wps:wsp>
                                      <wps:cNvPr id="55" name="文本框 55"/>
                                      <wps:cNvSpPr txBox="1"/>
                                      <wps:spPr>
                                        <a:xfrm>
                                          <a:off x="5468" y="12377"/>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样品保存</w:t>
                                            </w:r>
                                          </w:p>
                                        </w:txbxContent>
                                      </wps:txbx>
                                      <wps:bodyPr lIns="0" tIns="0" rIns="0" bIns="0" upright="1"/>
                                    </wps:wsp>
                                    <wps:wsp>
                                      <wps:cNvPr id="56" name="直接箭头连接符 56"/>
                                      <wps:cNvCnPr/>
                                      <wps:spPr>
                                        <a:xfrm>
                                          <a:off x="6135" y="12157"/>
                                          <a:ext cx="0" cy="231"/>
                                        </a:xfrm>
                                        <a:prstGeom prst="straightConnector1">
                                          <a:avLst/>
                                        </a:prstGeom>
                                        <a:ln w="9525" cap="flat" cmpd="sng">
                                          <a:solidFill>
                                            <a:srgbClr val="000000"/>
                                          </a:solidFill>
                                          <a:prstDash val="solid"/>
                                          <a:headEnd type="none" w="med" len="med"/>
                                          <a:tailEnd type="triangle" w="med" len="med"/>
                                        </a:ln>
                                      </wps:spPr>
                                      <wps:bodyPr/>
                                    </wps:wsp>
                                    <wps:wsp>
                                      <wps:cNvPr id="57" name="文本框 57"/>
                                      <wps:cNvSpPr txBox="1"/>
                                      <wps:spPr>
                                        <a:xfrm>
                                          <a:off x="5244" y="11814"/>
                                          <a:ext cx="1760"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地下水样品采集</w:t>
                                            </w:r>
                                          </w:p>
                                        </w:txbxContent>
                                      </wps:txbx>
                                      <wps:bodyPr lIns="0" tIns="0" rIns="0" bIns="0" upright="1"/>
                                    </wps:wsp>
                                    <wps:wsp>
                                      <wps:cNvPr id="58" name="直接箭头连接符 58"/>
                                      <wps:cNvCnPr/>
                                      <wps:spPr>
                                        <a:xfrm>
                                          <a:off x="6128" y="11589"/>
                                          <a:ext cx="0" cy="231"/>
                                        </a:xfrm>
                                        <a:prstGeom prst="straightConnector1">
                                          <a:avLst/>
                                        </a:prstGeom>
                                        <a:ln w="9525" cap="flat" cmpd="sng">
                                          <a:solidFill>
                                            <a:srgbClr val="000000"/>
                                          </a:solidFill>
                                          <a:prstDash val="solid"/>
                                          <a:headEnd type="none" w="med" len="med"/>
                                          <a:tailEnd type="triangle" w="med" len="med"/>
                                        </a:ln>
                                      </wps:spPr>
                                      <wps:bodyPr/>
                                    </wps:wsp>
                                  </wpg:grpSp>
                                  <wpg:grpSp>
                                    <wpg:cNvPr id="90" name="组合 90"/>
                                    <wpg:cNvGrpSpPr/>
                                    <wpg:grpSpPr>
                                      <a:xfrm>
                                        <a:off x="4252" y="1465"/>
                                        <a:ext cx="3733" cy="8849"/>
                                        <a:chOff x="4252" y="1465"/>
                                        <a:chExt cx="3733" cy="8849"/>
                                      </a:xfrm>
                                    </wpg:grpSpPr>
                                    <wpg:grpSp>
                                      <wpg:cNvPr id="76" name="组合 76"/>
                                      <wpg:cNvGrpSpPr/>
                                      <wpg:grpSpPr>
                                        <a:xfrm>
                                          <a:off x="4252" y="5829"/>
                                          <a:ext cx="3733" cy="4485"/>
                                          <a:chOff x="4252" y="5829"/>
                                          <a:chExt cx="3733" cy="4485"/>
                                        </a:xfrm>
                                      </wpg:grpSpPr>
                                      <wps:wsp>
                                        <wps:cNvPr id="60" name="文本框 60"/>
                                        <wps:cNvSpPr txBox="1"/>
                                        <wps:spPr>
                                          <a:xfrm>
                                            <a:off x="4252" y="5829"/>
                                            <a:ext cx="3733"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污染隐患排查，疑似污染区域识别</w:t>
                                              </w:r>
                                            </w:p>
                                          </w:txbxContent>
                                        </wps:txbx>
                                        <wps:bodyPr lIns="0" tIns="0" rIns="0" bIns="0" upright="1"/>
                                      </wps:wsp>
                                      <wps:wsp>
                                        <wps:cNvPr id="61" name="文本框 61"/>
                                        <wps:cNvSpPr txBox="1"/>
                                        <wps:spPr>
                                          <a:xfrm>
                                            <a:off x="5421" y="6390"/>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筛选布点区域</w:t>
                                              </w:r>
                                            </w:p>
                                          </w:txbxContent>
                                        </wps:txbx>
                                        <wps:bodyPr lIns="0" tIns="0" rIns="0" bIns="0" upright="1"/>
                                      </wps:wsp>
                                      <wps:wsp>
                                        <wps:cNvPr id="62" name="直接箭头连接符 62"/>
                                        <wps:cNvCnPr/>
                                        <wps:spPr>
                                          <a:xfrm>
                                            <a:off x="6097" y="6167"/>
                                            <a:ext cx="0" cy="231"/>
                                          </a:xfrm>
                                          <a:prstGeom prst="straightConnector1">
                                            <a:avLst/>
                                          </a:prstGeom>
                                          <a:ln w="9525" cap="flat" cmpd="sng">
                                            <a:solidFill>
                                              <a:srgbClr val="000000"/>
                                            </a:solidFill>
                                            <a:prstDash val="solid"/>
                                            <a:headEnd type="none" w="med" len="med"/>
                                            <a:tailEnd type="triangle" w="med" len="med"/>
                                          </a:ln>
                                        </wps:spPr>
                                        <wps:bodyPr/>
                                      </wps:wsp>
                                      <wps:wsp>
                                        <wps:cNvPr id="63" name="文本框 63"/>
                                        <wps:cNvSpPr txBox="1"/>
                                        <wps:spPr>
                                          <a:xfrm>
                                            <a:off x="5419" y="6960"/>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制定布点计划</w:t>
                                              </w:r>
                                            </w:p>
                                          </w:txbxContent>
                                        </wps:txbx>
                                        <wps:bodyPr lIns="0" tIns="0" rIns="0" bIns="0" upright="1"/>
                                      </wps:wsp>
                                      <wps:wsp>
                                        <wps:cNvPr id="64" name="直接箭头连接符 64"/>
                                        <wps:cNvCnPr/>
                                        <wps:spPr>
                                          <a:xfrm>
                                            <a:off x="6085" y="6739"/>
                                            <a:ext cx="0" cy="231"/>
                                          </a:xfrm>
                                          <a:prstGeom prst="straightConnector1">
                                            <a:avLst/>
                                          </a:prstGeom>
                                          <a:ln w="9525" cap="flat" cmpd="sng">
                                            <a:solidFill>
                                              <a:srgbClr val="000000"/>
                                            </a:solidFill>
                                            <a:prstDash val="solid"/>
                                            <a:headEnd type="none" w="med" len="med"/>
                                            <a:tailEnd type="triangle" w="med" len="med"/>
                                          </a:ln>
                                        </wps:spPr>
                                        <wps:bodyPr/>
                                      </wps:wsp>
                                      <wps:wsp>
                                        <wps:cNvPr id="65" name="直接箭头连接符 65"/>
                                        <wps:cNvCnPr/>
                                        <wps:spPr>
                                          <a:xfrm>
                                            <a:off x="6083" y="7290"/>
                                            <a:ext cx="0" cy="231"/>
                                          </a:xfrm>
                                          <a:prstGeom prst="straightConnector1">
                                            <a:avLst/>
                                          </a:prstGeom>
                                          <a:ln w="9525" cap="flat" cmpd="sng">
                                            <a:solidFill>
                                              <a:srgbClr val="000000"/>
                                            </a:solidFill>
                                            <a:prstDash val="solid"/>
                                            <a:headEnd type="none" w="med" len="med"/>
                                            <a:tailEnd type="triangle" w="med" len="med"/>
                                          </a:ln>
                                        </wps:spPr>
                                        <wps:bodyPr/>
                                      </wps:wsp>
                                      <wps:wsp>
                                        <wps:cNvPr id="66" name="直接箭头连接符 66"/>
                                        <wps:cNvCnPr/>
                                        <wps:spPr>
                                          <a:xfrm>
                                            <a:off x="6105" y="7826"/>
                                            <a:ext cx="0" cy="231"/>
                                          </a:xfrm>
                                          <a:prstGeom prst="straightConnector1">
                                            <a:avLst/>
                                          </a:prstGeom>
                                          <a:ln w="9525" cap="flat" cmpd="sng">
                                            <a:solidFill>
                                              <a:srgbClr val="000000"/>
                                            </a:solidFill>
                                            <a:prstDash val="solid"/>
                                            <a:headEnd type="none" w="med" len="med"/>
                                            <a:tailEnd type="triangle" w="med" len="med"/>
                                          </a:ln>
                                        </wps:spPr>
                                        <wps:bodyPr/>
                                      </wps:wsp>
                                      <wps:wsp>
                                        <wps:cNvPr id="67" name="文本框 67"/>
                                        <wps:cNvSpPr txBox="1"/>
                                        <wps:spPr>
                                          <a:xfrm>
                                            <a:off x="5331" y="7504"/>
                                            <a:ext cx="1493"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采样点现场确定</w:t>
                                              </w:r>
                                            </w:p>
                                          </w:txbxContent>
                                        </wps:txbx>
                                        <wps:bodyPr lIns="0" tIns="0" rIns="0" bIns="0" upright="1"/>
                                      </wps:wsp>
                                      <wps:wsp>
                                        <wps:cNvPr id="68" name="直接箭头连接符 68"/>
                                        <wps:cNvCnPr/>
                                        <wps:spPr>
                                          <a:xfrm>
                                            <a:off x="6102" y="8395"/>
                                            <a:ext cx="0" cy="231"/>
                                          </a:xfrm>
                                          <a:prstGeom prst="straightConnector1">
                                            <a:avLst/>
                                          </a:prstGeom>
                                          <a:ln w="9525" cap="flat" cmpd="sng">
                                            <a:solidFill>
                                              <a:srgbClr val="000000"/>
                                            </a:solidFill>
                                            <a:prstDash val="solid"/>
                                            <a:headEnd type="none" w="med" len="med"/>
                                            <a:tailEnd type="triangle" w="med" len="med"/>
                                          </a:ln>
                                        </wps:spPr>
                                        <wps:bodyPr/>
                                      </wps:wsp>
                                      <wps:wsp>
                                        <wps:cNvPr id="69" name="文本框 69"/>
                                        <wps:cNvSpPr txBox="1"/>
                                        <wps:spPr>
                                          <a:xfrm>
                                            <a:off x="5430" y="8049"/>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编制布点方案</w:t>
                                              </w:r>
                                            </w:p>
                                          </w:txbxContent>
                                        </wps:txbx>
                                        <wps:bodyPr lIns="0" tIns="0" rIns="0" bIns="0" upright="1"/>
                                      </wps:wsp>
                                      <wps:wsp>
                                        <wps:cNvPr id="70" name="文本框 70"/>
                                        <wps:cNvSpPr txBox="1"/>
                                        <wps:spPr>
                                          <a:xfrm>
                                            <a:off x="5055" y="8599"/>
                                            <a:ext cx="210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采样方案与采样准备</w:t>
                                              </w:r>
                                            </w:p>
                                          </w:txbxContent>
                                        </wps:txbx>
                                        <wps:bodyPr lIns="0" tIns="0" rIns="0" bIns="0" upright="1"/>
                                      </wps:wsp>
                                      <wps:wsp>
                                        <wps:cNvPr id="71" name="文本框 71"/>
                                        <wps:cNvSpPr txBox="1"/>
                                        <wps:spPr>
                                          <a:xfrm>
                                            <a:off x="5449" y="9172"/>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土孔钻探</w:t>
                                              </w:r>
                                            </w:p>
                                          </w:txbxContent>
                                        </wps:txbx>
                                        <wps:bodyPr lIns="0" tIns="0" rIns="0" bIns="0" upright="1"/>
                                      </wps:wsp>
                                      <wps:wsp>
                                        <wps:cNvPr id="72" name="直接箭头连接符 72"/>
                                        <wps:cNvCnPr/>
                                        <wps:spPr>
                                          <a:xfrm>
                                            <a:off x="6112" y="8946"/>
                                            <a:ext cx="0" cy="231"/>
                                          </a:xfrm>
                                          <a:prstGeom prst="straightConnector1">
                                            <a:avLst/>
                                          </a:prstGeom>
                                          <a:ln w="9525" cap="flat" cmpd="sng">
                                            <a:solidFill>
                                              <a:srgbClr val="000000"/>
                                            </a:solidFill>
                                            <a:prstDash val="solid"/>
                                            <a:headEnd type="none" w="med" len="med"/>
                                            <a:tailEnd type="triangle" w="med" len="med"/>
                                          </a:ln>
                                        </wps:spPr>
                                        <wps:bodyPr/>
                                      </wps:wsp>
                                      <wps:wsp>
                                        <wps:cNvPr id="73" name="文本框 73"/>
                                        <wps:cNvSpPr txBox="1"/>
                                        <wps:spPr>
                                          <a:xfrm>
                                            <a:off x="5431" y="9742"/>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土壤样品采集</w:t>
                                              </w:r>
                                            </w:p>
                                          </w:txbxContent>
                                        </wps:txbx>
                                        <wps:bodyPr lIns="0" tIns="0" rIns="0" bIns="0" upright="1"/>
                                      </wps:wsp>
                                      <wps:wsp>
                                        <wps:cNvPr id="74" name="直接箭头连接符 74"/>
                                        <wps:cNvCnPr/>
                                        <wps:spPr>
                                          <a:xfrm>
                                            <a:off x="6111" y="9525"/>
                                            <a:ext cx="0" cy="231"/>
                                          </a:xfrm>
                                          <a:prstGeom prst="straightConnector1">
                                            <a:avLst/>
                                          </a:prstGeom>
                                          <a:ln w="9525" cap="flat" cmpd="sng">
                                            <a:solidFill>
                                              <a:srgbClr val="000000"/>
                                            </a:solidFill>
                                            <a:prstDash val="solid"/>
                                            <a:headEnd type="none" w="med" len="med"/>
                                            <a:tailEnd type="triangle" w="med" len="med"/>
                                          </a:ln>
                                        </wps:spPr>
                                        <wps:bodyPr/>
                                      </wps:wsp>
                                      <wps:wsp>
                                        <wps:cNvPr id="75" name="直接箭头连接符 75"/>
                                        <wps:cNvCnPr/>
                                        <wps:spPr>
                                          <a:xfrm>
                                            <a:off x="6120" y="10083"/>
                                            <a:ext cx="0" cy="231"/>
                                          </a:xfrm>
                                          <a:prstGeom prst="straightConnector1">
                                            <a:avLst/>
                                          </a:prstGeom>
                                          <a:ln w="9525" cap="flat" cmpd="sng">
                                            <a:solidFill>
                                              <a:srgbClr val="000000"/>
                                            </a:solidFill>
                                            <a:prstDash val="solid"/>
                                            <a:headEnd type="none" w="med" len="med"/>
                                            <a:tailEnd type="triangle" w="med" len="med"/>
                                          </a:ln>
                                        </wps:spPr>
                                        <wps:bodyPr/>
                                      </wps:wsp>
                                    </wpg:grpSp>
                                    <wpg:grpSp>
                                      <wpg:cNvPr id="89" name="组合 89"/>
                                      <wpg:cNvGrpSpPr/>
                                      <wpg:grpSpPr>
                                        <a:xfrm>
                                          <a:off x="5319" y="1465"/>
                                          <a:ext cx="1523" cy="4389"/>
                                          <a:chOff x="5319" y="1465"/>
                                          <a:chExt cx="1523" cy="4389"/>
                                        </a:xfrm>
                                      </wpg:grpSpPr>
                                      <wps:wsp>
                                        <wps:cNvPr id="77" name="文本框 77"/>
                                        <wps:cNvSpPr txBox="1"/>
                                        <wps:spPr>
                                          <a:xfrm>
                                            <a:off x="5366" y="2583"/>
                                            <a:ext cx="1345"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基本信息核实</w:t>
                                              </w:r>
                                            </w:p>
                                          </w:txbxContent>
                                        </wps:txbx>
                                        <wps:bodyPr lIns="0" tIns="0" rIns="0" bIns="0" upright="1"/>
                                      </wps:wsp>
                                      <wps:wsp>
                                        <wps:cNvPr id="78" name="直接箭头连接符 78"/>
                                        <wps:cNvCnPr/>
                                        <wps:spPr>
                                          <a:xfrm>
                                            <a:off x="6040" y="2375"/>
                                            <a:ext cx="0" cy="231"/>
                                          </a:xfrm>
                                          <a:prstGeom prst="straightConnector1">
                                            <a:avLst/>
                                          </a:prstGeom>
                                          <a:ln w="9525" cap="flat" cmpd="sng">
                                            <a:solidFill>
                                              <a:srgbClr val="000000"/>
                                            </a:solidFill>
                                            <a:prstDash val="solid"/>
                                            <a:headEnd type="none" w="med" len="med"/>
                                            <a:tailEnd type="triangle" w="med" len="med"/>
                                          </a:ln>
                                        </wps:spPr>
                                        <wps:bodyPr/>
                                      </wps:wsp>
                                      <wps:wsp>
                                        <wps:cNvPr id="79" name="直接箭头连接符 79"/>
                                        <wps:cNvCnPr/>
                                        <wps:spPr>
                                          <a:xfrm>
                                            <a:off x="6058" y="3471"/>
                                            <a:ext cx="0" cy="231"/>
                                          </a:xfrm>
                                          <a:prstGeom prst="straightConnector1">
                                            <a:avLst/>
                                          </a:prstGeom>
                                          <a:ln w="9525" cap="flat" cmpd="sng">
                                            <a:solidFill>
                                              <a:srgbClr val="000000"/>
                                            </a:solidFill>
                                            <a:prstDash val="solid"/>
                                            <a:headEnd type="none" w="med" len="med"/>
                                            <a:tailEnd type="triangle" w="med" len="med"/>
                                          </a:ln>
                                        </wps:spPr>
                                        <wps:bodyPr/>
                                      </wps:wsp>
                                      <wps:wsp>
                                        <wps:cNvPr id="80" name="文本框 80"/>
                                        <wps:cNvSpPr txBox="1"/>
                                        <wps:spPr>
                                          <a:xfrm>
                                            <a:off x="5334" y="1465"/>
                                            <a:ext cx="1345" cy="352"/>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确定调查对象</w:t>
                                              </w:r>
                                            </w:p>
                                          </w:txbxContent>
                                        </wps:txbx>
                                        <wps:bodyPr lIns="0" tIns="0" rIns="0" bIns="0" upright="1"/>
                                      </wps:wsp>
                                      <wps:wsp>
                                        <wps:cNvPr id="81" name="直接箭头连接符 81"/>
                                        <wps:cNvCnPr/>
                                        <wps:spPr>
                                          <a:xfrm>
                                            <a:off x="6042" y="1805"/>
                                            <a:ext cx="0" cy="231"/>
                                          </a:xfrm>
                                          <a:prstGeom prst="straightConnector1">
                                            <a:avLst/>
                                          </a:prstGeom>
                                          <a:ln w="9525" cap="flat" cmpd="sng">
                                            <a:solidFill>
                                              <a:srgbClr val="000000"/>
                                            </a:solidFill>
                                            <a:prstDash val="solid"/>
                                            <a:headEnd type="none" w="med" len="med"/>
                                            <a:tailEnd type="triangle" w="med" len="med"/>
                                          </a:ln>
                                        </wps:spPr>
                                        <wps:bodyPr/>
                                      </wps:wsp>
                                      <wps:wsp>
                                        <wps:cNvPr id="82" name="文本框 82"/>
                                        <wps:cNvSpPr txBox="1"/>
                                        <wps:spPr>
                                          <a:xfrm>
                                            <a:off x="5394" y="2025"/>
                                            <a:ext cx="1253"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工作准备</w:t>
                                              </w:r>
                                            </w:p>
                                          </w:txbxContent>
                                        </wps:txbx>
                                        <wps:bodyPr lIns="0" tIns="0" rIns="0" bIns="0" upright="1"/>
                                      </wps:wsp>
                                      <wps:wsp>
                                        <wps:cNvPr id="83" name="直接箭头连接符 83"/>
                                        <wps:cNvCnPr/>
                                        <wps:spPr>
                                          <a:xfrm>
                                            <a:off x="6049" y="2923"/>
                                            <a:ext cx="0" cy="231"/>
                                          </a:xfrm>
                                          <a:prstGeom prst="straightConnector1">
                                            <a:avLst/>
                                          </a:prstGeom>
                                          <a:ln w="9525" cap="flat" cmpd="sng">
                                            <a:solidFill>
                                              <a:srgbClr val="000000"/>
                                            </a:solidFill>
                                            <a:prstDash val="solid"/>
                                            <a:headEnd type="none" w="med" len="med"/>
                                            <a:tailEnd type="triangle" w="med" len="med"/>
                                          </a:ln>
                                        </wps:spPr>
                                        <wps:bodyPr/>
                                      </wps:wsp>
                                      <wps:wsp>
                                        <wps:cNvPr id="84" name="文本框 84"/>
                                        <wps:cNvSpPr txBox="1"/>
                                        <wps:spPr>
                                          <a:xfrm>
                                            <a:off x="5413" y="3135"/>
                                            <a:ext cx="1253"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资料收集</w:t>
                                              </w:r>
                                            </w:p>
                                          </w:txbxContent>
                                        </wps:txbx>
                                        <wps:bodyPr lIns="0" tIns="0" rIns="0" bIns="0" upright="1"/>
                                      </wps:wsp>
                                      <wps:wsp>
                                        <wps:cNvPr id="85" name="直接箭头连接符 85"/>
                                        <wps:cNvCnPr/>
                                        <wps:spPr>
                                          <a:xfrm>
                                            <a:off x="6100" y="5053"/>
                                            <a:ext cx="0" cy="231"/>
                                          </a:xfrm>
                                          <a:prstGeom prst="straightConnector1">
                                            <a:avLst/>
                                          </a:prstGeom>
                                          <a:ln w="9525" cap="flat" cmpd="sng">
                                            <a:solidFill>
                                              <a:srgbClr val="000000"/>
                                            </a:solidFill>
                                            <a:prstDash val="solid"/>
                                            <a:headEnd type="none" w="med" len="med"/>
                                            <a:tailEnd type="triangle" w="med" len="med"/>
                                          </a:ln>
                                        </wps:spPr>
                                        <wps:bodyPr/>
                                      </wps:wsp>
                                      <wps:wsp>
                                        <wps:cNvPr id="86" name="文本框 86"/>
                                        <wps:cNvSpPr txBox="1"/>
                                        <wps:spPr>
                                          <a:xfrm>
                                            <a:off x="5336" y="5284"/>
                                            <a:ext cx="1506" cy="34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信息整理与填报</w:t>
                                              </w:r>
                                            </w:p>
                                          </w:txbxContent>
                                        </wps:txbx>
                                        <wps:bodyPr lIns="0" tIns="0" rIns="0" bIns="0" upright="1"/>
                                      </wps:wsp>
                                      <wps:wsp>
                                        <wps:cNvPr id="87" name="直接箭头连接符 87"/>
                                        <wps:cNvCnPr/>
                                        <wps:spPr>
                                          <a:xfrm>
                                            <a:off x="6098" y="5623"/>
                                            <a:ext cx="0" cy="231"/>
                                          </a:xfrm>
                                          <a:prstGeom prst="straightConnector1">
                                            <a:avLst/>
                                          </a:prstGeom>
                                          <a:ln w="9525" cap="flat" cmpd="sng">
                                            <a:solidFill>
                                              <a:srgbClr val="000000"/>
                                            </a:solidFill>
                                            <a:prstDash val="solid"/>
                                            <a:headEnd type="none" w="med" len="med"/>
                                            <a:tailEnd type="triangle" w="med" len="med"/>
                                          </a:ln>
                                        </wps:spPr>
                                        <wps:bodyPr/>
                                      </wps:wsp>
                                      <wps:wsp>
                                        <wps:cNvPr id="88" name="矩形 88"/>
                                        <wps:cNvSpPr/>
                                        <wps:spPr>
                                          <a:xfrm>
                                            <a:off x="5319" y="3691"/>
                                            <a:ext cx="1488" cy="1350"/>
                                          </a:xfrm>
                                          <a:prstGeom prst="rect">
                                            <a:avLst/>
                                          </a:prstGeom>
                                          <a:noFill/>
                                          <a:ln w="6350" cap="flat" cmpd="sng">
                                            <a:solidFill>
                                              <a:srgbClr val="000000"/>
                                            </a:solidFill>
                                            <a:prstDash val="solid"/>
                                            <a:miter/>
                                            <a:headEnd type="none" w="med" len="med"/>
                                            <a:tailEnd type="none" w="med" len="med"/>
                                          </a:ln>
                                        </wps:spPr>
                                        <wps:bodyPr anchor="ctr" upright="1"/>
                                      </wps:wsp>
                                    </wpg:grpSp>
                                  </wpg:grpSp>
                                </wpg:grpSp>
                              </wpg:grpSp>
                            </wpg:grpSp>
                          </wpg:grpSp>
                        </wpg:grpSp>
                      </wpg:grpSp>
                    </wpg:wgp>
                  </a:graphicData>
                </a:graphic>
              </wp:inline>
            </w:drawing>
          </mc:Choice>
          <mc:Fallback>
            <w:pict>
              <v:group id="_x0000_s1026" o:spid="_x0000_s1026" o:spt="203" style="height:663.85pt;width:248pt;" coordorigin="3902,1465" coordsize="4960,13516" o:gfxdata="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">
                <o:lock v:ext="edit" rotation="t" aspectratio="f"/>
                <v:shape id="_x0000_s1026" o:spid="_x0000_s1026" o:spt="202" type="#_x0000_t202" style="position:absolute;left:6181;top:10994;height:390;width:431;"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是</w:t>
                        </w:r>
                      </w:p>
                    </w:txbxContent>
                  </v:textbox>
                </v:shape>
                <v:group id="_x0000_s1026" o:spid="_x0000_s1026" o:spt="203" style="position:absolute;left:3902;top:1465;height:13516;width:4960;" coordorigin="3902,1465" coordsize="4960,13516"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389;top:10346;height:390;width:431;"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否</w:t>
                          </w:r>
                        </w:p>
                      </w:txbxContent>
                    </v:textbox>
                  </v:shape>
                  <v:group id="_x0000_s1026" o:spid="_x0000_s1026" o:spt="203" style="position:absolute;left:3902;top:1465;height:13516;width:4960;" coordorigin="3902,1465" coordsize="4960,13516"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_x0000_s1026" o:spid="_x0000_s1026" o:spt="110" type="#_x0000_t110" style="position:absolute;left:3902;top:10258;height:794;width:4452;" fillcolor="#FFFFFF" filled="t" stroked="t" coordsize="21600,21600" o:gfxdata="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8Hql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是否需要地下水采样</w:t>
                            </w:r>
                          </w:p>
                        </w:txbxContent>
                      </v:textbox>
                    </v:shape>
                    <v:group id="_x0000_s1026" o:spid="_x0000_s1026" o:spt="203" style="position:absolute;left:4095;top:1465;height:13516;width:4767;" coordorigin="4095,1465" coordsize="4767,13516"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242;top:4015;height:1016;width:564;" fillcolor="#FFFFFF" filled="t" stroked="f" coordsize="21600,21600" o:gfxdata="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fE9G5AAAA2wAA&#10;AA8AAAAAAAAAAQAgAAAAIgAAAGRycy9kb3ducmV2LnhtbFBLAQIUABQAAAAIAIdO4kAzLwWeOwAA&#10;ADkAAAAQAAAAAAAAAAEAIAAAAAgBAABkcnMvc2hhcGV4bWwueG1sUEsFBgAAAAAGAAYAWwEAALID&#10;AAAAAA==&#10;">
                        <v:fill on="t" focussize="0,0"/>
                        <v:stroke on="f" weight="0.5pt"/>
                        <v:imagedata o:title=""/>
                        <o:lock v:ext="edit" aspectratio="f"/>
                        <v:textbox style="layout-flow:vertical-ideographic;">
                          <w:txbxContent>
                            <w:p>
                              <w:pPr>
                                <w:spacing w:line="240" w:lineRule="auto"/>
                                <w:ind w:firstLine="0" w:firstLineChars="0"/>
                                <w:rPr>
                                  <w:sz w:val="21"/>
                                  <w:szCs w:val="21"/>
                                </w:rPr>
                              </w:pPr>
                              <w:r>
                                <w:rPr>
                                  <w:rFonts w:hint="eastAsia"/>
                                  <w:sz w:val="21"/>
                                  <w:szCs w:val="21"/>
                                </w:rPr>
                                <w:t>人员访谈</w:t>
                              </w:r>
                            </w:p>
                          </w:txbxContent>
                        </v:textbox>
                      </v:shape>
                      <v:group id="_x0000_s1026" o:spid="_x0000_s1026" o:spt="203" style="position:absolute;left:4095;top:1465;height:13516;width:4767;" coordorigin="4095,1465" coordsize="4767,13516"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351;top:4028;height:1016;width:564;" fillcolor="#FFFFFF" filled="t" stroked="f" coordsize="21600,21600" o:gfxdata="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7ZKvQAA&#10;ANsAAAAPAAAAAAAAAAEAIAAAACIAAABkcnMvZG93bnJldi54bWxQSwECFAAUAAAACACHTuJAMy8F&#10;njsAAAA5AAAAEAAAAAAAAAABACAAAAAMAQAAZHJzL3NoYXBleG1sLnhtbFBLBQYAAAAABgAGAFsB&#10;AAC2AwAAAAA=&#10;">
                          <v:fill on="t" focussize="0,0"/>
                          <v:stroke on="f" weight="0.5pt"/>
                          <v:imagedata o:title=""/>
                          <o:lock v:ext="edit" aspectratio="f"/>
                          <v:textbox style="layout-flow:vertical-ideographic;">
                            <w:txbxContent>
                              <w:p>
                                <w:pPr>
                                  <w:spacing w:line="240" w:lineRule="auto"/>
                                  <w:ind w:firstLine="0" w:firstLineChars="0"/>
                                  <w:rPr>
                                    <w:sz w:val="21"/>
                                    <w:szCs w:val="21"/>
                                  </w:rPr>
                                </w:pPr>
                                <w:r>
                                  <w:rPr>
                                    <w:rFonts w:hint="eastAsia"/>
                                    <w:sz w:val="21"/>
                                    <w:szCs w:val="21"/>
                                  </w:rPr>
                                  <w:t>现场踏勘</w:t>
                                </w:r>
                              </w:p>
                            </w:txbxContent>
                          </v:textbox>
                        </v:shape>
                        <v:group id="_x0000_s1026" o:spid="_x0000_s1026" o:spt="203" style="position:absolute;left:4095;top:1465;height:13516;width:4767;" coordorigin="4095,1465" coordsize="4767,13516"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433;top:3727;height:343;width:1253;" fillcolor="#FFFFFF" filled="t" stroked="f" coordsize="21600,21600" o:gfxdata="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w+qLO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spacing w:line="240" w:lineRule="auto"/>
                                    <w:ind w:firstLine="0" w:firstLineChars="0"/>
                                    <w:jc w:val="center"/>
                                    <w:rPr>
                                      <w:sz w:val="21"/>
                                      <w:szCs w:val="21"/>
                                    </w:rPr>
                                  </w:pPr>
                                  <w:r>
                                    <w:rPr>
                                      <w:rFonts w:hint="eastAsia"/>
                                      <w:sz w:val="21"/>
                                      <w:szCs w:val="21"/>
                                    </w:rPr>
                                    <w:t>现场勘查</w:t>
                                  </w:r>
                                </w:p>
                              </w:txbxContent>
                            </v:textbox>
                          </v:shape>
                          <v:group id="_x0000_s1026" o:spid="_x0000_s1026" o:spt="203" style="position:absolute;left:4095;top:1465;height:13516;width:4767;" coordorigin="4095,1465" coordsize="4767,13516"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4095;top:14078;height:903;width:4105;" coordorigin="4095,14015" coordsize="4105,903"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095;top:14575;height:343;width:4105;" fillcolor="#FFFFFF" filled="t" stroked="t" coordsize="21600,21600" o:gfxdata="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2Ki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编制土壤环境污染隐患排查及质量状况报告</w:t>
                                      </w:r>
                                    </w:p>
                                  </w:txbxContent>
                                </v:textbox>
                              </v:shape>
                              <v:shape id="_x0000_s1026" o:spid="_x0000_s1026" o:spt="32" type="#_x0000_t32" style="position:absolute;left:6153;top:14361;height:231;width:0;"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80;top:14015;height:343;width:1345;" fillcolor="#FFFFFF" filled="t" stroked="t" coordsize="21600,21600" o:gfxdata="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OxZb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监测结果评估</w:t>
                                      </w:r>
                                    </w:p>
                                  </w:txbxContent>
                                </v:textbox>
                              </v:shape>
                            </v:group>
                            <v:group id="_x0000_s1026" o:spid="_x0000_s1026" o:spt="203" style="position:absolute;left:5235;top:10652;height:3414;width:3627;" coordorigin="5235,10652" coordsize="3627,3414"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361;top:10657;height:11;width:496;" filled="f" stroked="t" coordsize="21600,21600" o:gfxdata="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Fr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8861;top:10652;flip:x;height:1890;width:1;" filled="f" stroked="t" coordsize="21600,21600" o:gfxdata="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xiG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202" type="#_x0000_t202" style="position:absolute;left:5235;top:11266;height:343;width:1760;" fillcolor="#FFFFFF" filled="t" stroked="t" coordsize="21600,21600" o:gfxdata="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It2a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地下水采样井建设</w:t>
                                      </w:r>
                                    </w:p>
                                  </w:txbxContent>
                                </v:textbox>
                              </v:shape>
                              <v:shape id="_x0000_s1026" o:spid="_x0000_s1026" o:spt="32" type="#_x0000_t32" style="position:absolute;left:6119;top:11074;height:231;width:0;"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144;top:13835;height:231;width: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6819;top:12543;flip:x;height:9;width:2042;" filled="f" stroked="t" coordsize="21600,21600" o:gfxdata="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cF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5471;top:13489;height:343;width:1345;" fillcolor="#FFFFFF" filled="t" stroked="t" coordsize="21600,21600" o:gfxdata="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QcV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样品检测分析</w:t>
                                      </w:r>
                                    </w:p>
                                  </w:txbxContent>
                                </v:textbox>
                              </v:shape>
                              <v:shape id="_x0000_s1026" o:spid="_x0000_s1026" o:spt="32" type="#_x0000_t32" style="position:absolute;left:6135;top:13280;height:231;width:0;" filled="f" stroked="t" coordsize="21600,21600" o:gfxdata="UEsDBAoAAAAAAIdO4kAAAAAAAAAAAAAAAAAEAAAAZHJzL1BLAwQUAAAACACHTuJAFnhr1r4AAADb&#10;AAAADwAAAGRycy9kb3ducmV2LnhtbEWPW2sCMRSE3wv+h3CEvtWsQhd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r1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68;top:12943;height:343;width:1345;" fillcolor="#FFFFFF" filled="t" stroked="t" coordsize="21600,21600" o:gfxdata="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onuL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样品流转</w:t>
                                      </w:r>
                                    </w:p>
                                  </w:txbxContent>
                                </v:textbox>
                              </v:shape>
                              <v:shape id="_x0000_s1026" o:spid="_x0000_s1026" o:spt="32" type="#_x0000_t32" style="position:absolute;left:6136;top:12718;height:231;width: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68;top:12377;height:343;width:1345;" fillcolor="#FFFFFF" filled="t" stroked="t" coordsize="21600,21600" o:gfxdata="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PGle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样品保存</w:t>
                                      </w:r>
                                    </w:p>
                                  </w:txbxContent>
                                </v:textbox>
                              </v:shape>
                              <v:shape id="_x0000_s1026" o:spid="_x0000_s1026" o:spt="32" type="#_x0000_t32" style="position:absolute;left:6135;top:12157;height:231;width:0;"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5244;top:11814;height:343;width:1760;" fillcolor="#FFFFFF" filled="t" stroked="t" coordsize="21600,21600" o:gfxdata="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kSG7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地下水样品采集</w:t>
                                      </w:r>
                                    </w:p>
                                  </w:txbxContent>
                                </v:textbox>
                              </v:shape>
                              <v:shape id="_x0000_s1026" o:spid="_x0000_s1026" o:spt="32" type="#_x0000_t32" style="position:absolute;left:6128;top:11589;height:231;width:0;" filled="f" stroked="t" coordsize="21600,21600" o:gfxdata="UEsDBAoAAAAAAIdO4kAAAAAAAAAAAAAAAAAEAAAAZHJzL1BLAwQUAAAACACHTuJAd5BcPLsAAADb&#10;AAAADwAAAGRycy9kb3ducmV2LnhtbEVPW2vCMBR+H+w/hDPY20wrr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BcP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v:group id="_x0000_s1026" o:spid="_x0000_s1026" o:spt="203" style="position:absolute;left:4252;top:1465;height:8849;width:3733;" coordorigin="4252,1465" coordsize="3733,8849"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4252;top:5829;height:4485;width:3733;" coordorigin="4252,5829" coordsize="3733,4485"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4252;top:5829;height:343;width:3733;" fillcolor="#FFFFFF" filled="t" stroked="t" coordsize="21600,21600" o:gfxdata="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FHNy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污染隐患排查，疑似污染区域识别</w:t>
                                        </w:r>
                                      </w:p>
                                    </w:txbxContent>
                                  </v:textbox>
                                </v:shape>
                                <v:shape id="_x0000_s1026" o:spid="_x0000_s1026" o:spt="202" type="#_x0000_t202" style="position:absolute;left:5421;top:6390;height:343;width:1345;" fillcolor="#FFFFFF" filled="t" stroked="t" coordsize="21600,21600" o:gfxdata="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Nbp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筛选布点区域</w:t>
                                        </w:r>
                                      </w:p>
                                    </w:txbxContent>
                                  </v:textbox>
                                </v:shape>
                                <v:shape id="_x0000_s1026" o:spid="_x0000_s1026" o:spt="32" type="#_x0000_t32" style="position:absolute;left:6097;top:6167;height:231;width:0;"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5419;top:6960;height:343;width:1345;" fillcolor="#FFFFFF" filled="t" stroked="t" coordsize="21600,21600" o:gfxdata="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btB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制定布点计划</w:t>
                                        </w:r>
                                      </w:p>
                                    </w:txbxContent>
                                  </v:textbox>
                                </v:shape>
                                <v:shape id="_x0000_s1026" o:spid="_x0000_s1026" o:spt="32" type="#_x0000_t32" style="position:absolute;left:6085;top:6739;height:231;width:0;"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083;top:7290;height:231;width:0;" filled="f" stroked="t" coordsize="21600,21600" o:gfxdata="UEsDBAoAAAAAAIdO4kAAAAAAAAAAAAAAAAAEAAAAZHJzL1BLAwQUAAAACACHTuJAV/05H78AAADb&#10;AAAADwAAAGRycy9kb3ducmV2LnhtbEWPzWrDMBCE74G8g9hAb4nsQE3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9O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105;top:7826;height:231;width:0;"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331;top:7504;height:343;width:1493;" fillcolor="#FFFFFF" filled="t" stroked="t" coordsize="21600,21600" o:gfxdata="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96wa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采样点现场确定</w:t>
                                        </w:r>
                                      </w:p>
                                    </w:txbxContent>
                                  </v:textbox>
                                </v:shape>
                                <v:shape id="_x0000_s1026" o:spid="_x0000_s1026" o:spt="32" type="#_x0000_t32" style="position:absolute;left:6102;top:8395;height:231;width:0;" filled="f" stroked="t" coordsize="21600,21600" o:gfxdata="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JaB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202" type="#_x0000_t202" style="position:absolute;left:5430;top:8049;height:343;width:1345;" fillcolor="#FFFFFF" filled="t" stroked="t" coordsize="21600,21600" o:gfxdata="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trv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编制布点方案</w:t>
                                        </w:r>
                                      </w:p>
                                    </w:txbxContent>
                                  </v:textbox>
                                </v:shape>
                                <v:shape id="_x0000_s1026" o:spid="_x0000_s1026" o:spt="202" type="#_x0000_t202" style="position:absolute;left:5055;top:8599;height:343;width:2105;" fillcolor="#FFFFFF" filled="t" stroked="t" coordsize="21600,21600" o:gfxdata="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zeWv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采样方案与采样准备</w:t>
                                        </w:r>
                                      </w:p>
                                    </w:txbxContent>
                                  </v:textbox>
                                </v:shape>
                                <v:shape id="_x0000_s1026" o:spid="_x0000_s1026" o:spt="202" type="#_x0000_t202" style="position:absolute;left:5449;top:9172;height:343;width:1345;" fillcolor="#FFFFFF" filled="t" stroked="t" coordsize="21600,21600" o:gfxdata="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BQDS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土孔钻探</w:t>
                                        </w:r>
                                      </w:p>
                                    </w:txbxContent>
                                  </v:textbox>
                                </v:shape>
                                <v:shape id="_x0000_s1026" o:spid="_x0000_s1026" o:spt="32" type="#_x0000_t32" style="position:absolute;left:6112;top:8946;height:231;width:0;" filled="f" stroked="t" coordsize="21600,21600" o:gfxdata="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3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31;top:9742;height:343;width:1345;" fillcolor="#FFFFFF" filled="t" stroked="t" coordsize="21600,21600" o:gfxdata="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972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土壤样品采集</w:t>
                                        </w:r>
                                      </w:p>
                                    </w:txbxContent>
                                  </v:textbox>
                                </v:shape>
                                <v:shape id="_x0000_s1026" o:spid="_x0000_s1026" o:spt="32" type="#_x0000_t32" style="position:absolute;left:6111;top:9525;height:231;width:0;" filled="f" stroked="t" coordsize="21600,21600" o:gfxdata="UEsDBAoAAAAAAIdO4kAAAAAAAAAAAAAAAAAEAAAAZHJzL1BLAwQUAAAACACHTuJAvWgKWb4AAADb&#10;AAAADwAAAGRycy9kb3ducmV2LnhtbEWPW2sCMRSE3wv9D+EU+qZZp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K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6120;top:10083;height:231;width:0;" filled="f" stroked="t" coordsize="21600,21600" o:gfxdata="UEsDBAoAAAAAAIdO4kAAAAAAAAAAAAAAAAAEAAAAZHJzL1BLAwQUAAAACACHTuJA0iSvwr4AAADb&#10;AAAADwAAAGRycy9kb3ducmV2LnhtbEWPW2sCMRSE3wv9D+EU+qZZha5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Svw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id="_x0000_s1026" o:spid="_x0000_s1026" o:spt="203" style="position:absolute;left:5319;top:1465;height:4389;width:1523;" coordorigin="5319,1465" coordsize="1523,4389"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366;top:2583;height:343;width:1345;" fillcolor="#FFFFFF" filled="t" stroked="t" coordsize="21600,21600" o:gfxdata="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R927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基本信息核实</w:t>
                                        </w:r>
                                      </w:p>
                                    </w:txbxContent>
                                  </v:textbox>
                                </v:shape>
                                <v:shape id="_x0000_s1026" o:spid="_x0000_s1026" o:spt="32" type="#_x0000_t32" style="position:absolute;left:6040;top:2375;height:231;width:0;" filled="f" stroked="t" coordsize="21600,21600" o:gfxdata="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lA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058;top:3471;height:231;width:0;"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5334;top:1465;height:352;width:1345;" fillcolor="#FFFFFF" filled="t" stroked="t" coordsize="21600,21600" o:gfxdata="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YlYi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确定调查对象</w:t>
                                        </w:r>
                                      </w:p>
                                    </w:txbxContent>
                                  </v:textbox>
                                </v:shape>
                                <v:shape id="_x0000_s1026" o:spid="_x0000_s1026" o:spt="32" type="#_x0000_t32" style="position:absolute;left:6042;top:1805;height:231;width:0;" filled="f" stroked="t" coordsize="21600,21600" o:gfxdata="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Z5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394;top:2025;height:343;width:1253;" fillcolor="#FFFFFF" filled="t" stroked="t" coordsize="21600,21600" o:gfxdata="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hq5k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工作准备</w:t>
                                        </w:r>
                                      </w:p>
                                    </w:txbxContent>
                                  </v:textbox>
                                </v:shape>
                                <v:shape id="_x0000_s1026" o:spid="_x0000_s1026" o:spt="32" type="#_x0000_t32" style="position:absolute;left:6049;top:2923;height:231;width:0;" filled="f" stroked="t" coordsize="21600,21600" o:gfxdata="UEsDBAoAAAAAAIdO4kAAAAAAAAAAAAAAAAAEAAAAZHJzL1BLAwQUAAAACACHTuJAB1TiCr4AAADb&#10;AAAADwAAAGRycy9kb3ducmV2LnhtbEWPT2sCMRTE7wW/Q3hCbzWrwq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TiC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413;top:3135;height:343;width:1253;" fillcolor="#FFFFFF" filled="t" stroked="t" coordsize="21600,21600" o:gfxdata="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OTi7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资料收集</w:t>
                                        </w:r>
                                      </w:p>
                                    </w:txbxContent>
                                  </v:textbox>
                                </v:shape>
                                <v:shape id="_x0000_s1026" o:spid="_x0000_s1026" o:spt="32" type="#_x0000_t32" style="position:absolute;left:6100;top:5053;height:231;width:0;" filled="f" stroked="t" coordsize="21600,21600" o:gfxdata="UEsDBAoAAAAAAIdO4kAAAAAAAAAAAAAAAAAEAAAAZHJzL1BLAwQUAAAACACHTuJA5/Hf5b4AAADb&#10;AAAADwAAAGRycy9kb3ducmV2LnhtbEWPT2sCMRTE7wW/Q3hCbzWr4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f5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336;top:5284;height:343;width:1506;" fillcolor="#FFFFFF" filled="t" stroked="t" coordsize="21600,21600" o:gfxdata="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ahn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信息整理与填报</w:t>
                                        </w:r>
                                      </w:p>
                                    </w:txbxContent>
                                  </v:textbox>
                                </v:shape>
                                <v:shape id="_x0000_s1026" o:spid="_x0000_s1026" o:spt="32" type="#_x0000_t32" style="position:absolute;left:6098;top:5623;height:231;width: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5319;top:3691;height:1350;width:1488;v-text-anchor:middle;" filled="f" stroked="t" coordsize="21600,21600" o:gfxdata="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oAy+LUAAADbAAAADwAA&#10;AAAAAAABACAAAAAiAAAAZHJzL2Rvd25yZXYueG1sUEsBAhQAFAAAAAgAh07iQDMvBZ47AAAAOQAA&#10;ABAAAAAAAAAAAQAgAAAABAEAAGRycy9zaGFwZXhtbC54bWxQSwUGAAAAAAYABgBbAQAArgMAAAAA&#10;">
                                  <v:fill on="f" focussize="0,0"/>
                                  <v:stroke weight="0.5pt" color="#000000" joinstyle="miter"/>
                                  <v:imagedata o:title=""/>
                                  <o:lock v:ext="edit" aspectratio="f"/>
                                </v:rect>
                              </v:group>
                            </v:group>
                          </v:group>
                        </v:group>
                      </v:group>
                    </v:group>
                  </v:group>
                </v:group>
                <w10:wrap type="none"/>
                <w10:anchorlock/>
              </v:group>
            </w:pict>
          </mc:Fallback>
        </mc:AlternateContent>
      </w:r>
    </w:p>
    <w:p>
      <w:pPr>
        <w:pStyle w:val="2"/>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lang w:val="en-US" w:eastAsia="zh-CN"/>
        </w:rPr>
      </w:pPr>
      <w:bookmarkStart w:id="18" w:name="_Toc10126"/>
      <w:bookmarkStart w:id="19" w:name="_Toc26040"/>
      <w:bookmarkStart w:id="20" w:name="_Toc4450"/>
      <w:bookmarkStart w:id="21" w:name="_Toc6731"/>
      <w:bookmarkStart w:id="22" w:name="_Toc21482"/>
      <w:bookmarkStart w:id="23" w:name="_Toc29672"/>
      <w:bookmarkStart w:id="24" w:name="_Toc25694"/>
      <w:bookmarkStart w:id="25" w:name="_Toc25844"/>
      <w:bookmarkStart w:id="26" w:name="_Toc19402"/>
      <w:bookmarkStart w:id="27" w:name="_Toc21053"/>
      <w:bookmarkStart w:id="28" w:name="_Toc12906"/>
      <w:bookmarkStart w:id="29" w:name="_Toc12709"/>
      <w:bookmarkStart w:id="30" w:name="_Toc13114"/>
      <w:bookmarkStart w:id="31" w:name="_Toc5355"/>
      <w:r>
        <w:rPr>
          <w:rFonts w:hint="default" w:ascii="Times New Roman" w:hAnsi="Times New Roman" w:eastAsia="宋体" w:cs="Times New Roman"/>
          <w:color w:val="auto"/>
        </w:rPr>
        <mc:AlternateContent>
          <mc:Choice Requires="wps">
            <w:drawing>
              <wp:anchor distT="0" distB="0" distL="114300" distR="114300" simplePos="0" relativeHeight="254815232" behindDoc="0" locked="0" layoutInCell="1" allowOverlap="1">
                <wp:simplePos x="0" y="0"/>
                <wp:positionH relativeFrom="column">
                  <wp:posOffset>915035</wp:posOffset>
                </wp:positionH>
                <wp:positionV relativeFrom="paragraph">
                  <wp:posOffset>38735</wp:posOffset>
                </wp:positionV>
                <wp:extent cx="3764915" cy="294640"/>
                <wp:effectExtent l="0" t="0" r="0" b="0"/>
                <wp:wrapNone/>
                <wp:docPr id="156" name="文本框 156"/>
                <wp:cNvGraphicFramePr/>
                <a:graphic xmlns:a="http://schemas.openxmlformats.org/drawingml/2006/main">
                  <a:graphicData uri="http://schemas.microsoft.com/office/word/2010/wordprocessingShape">
                    <wps:wsp>
                      <wps:cNvSpPr txBox="1"/>
                      <wps:spPr>
                        <a:xfrm>
                          <a:off x="3040380" y="9584055"/>
                          <a:ext cx="3764915" cy="457835"/>
                        </a:xfrm>
                        <a:prstGeom prst="rect">
                          <a:avLst/>
                        </a:prstGeom>
                        <a:noFill/>
                        <a:ln w="6350">
                          <a:noFill/>
                        </a:ln>
                        <a:effectLst/>
                      </wps:spPr>
                      <wps:txbx>
                        <w:txbxContent>
                          <w:p>
                            <w:pPr>
                              <w:spacing w:line="240" w:lineRule="auto"/>
                              <w:ind w:firstLine="0" w:firstLineChars="0"/>
                              <w:jc w:val="center"/>
                              <w:rPr>
                                <w:sz w:val="21"/>
                                <w:szCs w:val="21"/>
                              </w:rPr>
                            </w:pPr>
                            <w:r>
                              <w:rPr>
                                <w:rFonts w:ascii="Times New Roman" w:hAnsi="Times New Roman"/>
                                <w:b/>
                                <w:bCs/>
                                <w:sz w:val="21"/>
                                <w:szCs w:val="21"/>
                              </w:rPr>
                              <w:t xml:space="preserve">图1.4-1  </w:t>
                            </w:r>
                            <w:r>
                              <w:rPr>
                                <w:rFonts w:hint="eastAsia" w:ascii="Times New Roman" w:hAnsi="Times New Roman"/>
                                <w:b/>
                                <w:bCs/>
                                <w:sz w:val="21"/>
                                <w:szCs w:val="21"/>
                              </w:rPr>
                              <w:t>环境质量状况调查</w:t>
                            </w:r>
                            <w:r>
                              <w:rPr>
                                <w:rFonts w:ascii="Times New Roman" w:hAnsi="Times New Roman"/>
                                <w:b/>
                                <w:bCs/>
                                <w:sz w:val="21"/>
                                <w:szCs w:val="21"/>
                              </w:rPr>
                              <w:t>技术路线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05pt;margin-top:3.05pt;height:23.2pt;width:296.45pt;z-index:254815232;mso-width-relative:page;mso-height-relative:page;" filled="f" stroked="f" coordsize="21600,21600" o:gfxdata="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oeE9kAAAAIAQAADwAAAAAAAAABACAAAAAiAAAAZHJzL2Rvd25yZXYu&#10;eG1sUEsBAhQAFAAAAAgAh07iQLBkMBMzAgAANgQAAA4AAAAAAAAAAQAgAAAAKAEAAGRycy9lMm9E&#10;b2MueG1sUEsFBgAAAAAGAAYAWQEAAM0FAAAAAA==&#10;">
                <v:fill on="f" focussize="0,0"/>
                <v:stroke on="f" weight="0.5pt"/>
                <v:imagedata o:title=""/>
                <o:lock v:ext="edit" aspectratio="f"/>
                <v:textbox>
                  <w:txbxContent>
                    <w:p>
                      <w:pPr>
                        <w:spacing w:line="240" w:lineRule="auto"/>
                        <w:ind w:firstLine="0" w:firstLineChars="0"/>
                        <w:jc w:val="center"/>
                        <w:rPr>
                          <w:sz w:val="21"/>
                          <w:szCs w:val="21"/>
                        </w:rPr>
                      </w:pPr>
                      <w:r>
                        <w:rPr>
                          <w:rFonts w:ascii="Times New Roman" w:hAnsi="Times New Roman"/>
                          <w:b/>
                          <w:bCs/>
                          <w:sz w:val="21"/>
                          <w:szCs w:val="21"/>
                        </w:rPr>
                        <w:t xml:space="preserve">图1.4-1  </w:t>
                      </w:r>
                      <w:r>
                        <w:rPr>
                          <w:rFonts w:hint="eastAsia" w:ascii="Times New Roman" w:hAnsi="Times New Roman"/>
                          <w:b/>
                          <w:bCs/>
                          <w:sz w:val="21"/>
                          <w:szCs w:val="21"/>
                        </w:rPr>
                        <w:t>环境质量状况调查</w:t>
                      </w:r>
                      <w:r>
                        <w:rPr>
                          <w:rFonts w:ascii="Times New Roman" w:hAnsi="Times New Roman"/>
                          <w:b/>
                          <w:bCs/>
                          <w:sz w:val="21"/>
                          <w:szCs w:val="21"/>
                        </w:rPr>
                        <w:t>技术路线</w:t>
                      </w:r>
                    </w:p>
                  </w:txbxContent>
                </v:textbox>
              </v:shape>
            </w:pict>
          </mc:Fallback>
        </mc:AlternateContent>
      </w:r>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4"/>
        <w:pageBreakBefore w:val="0"/>
        <w:kinsoku/>
        <w:wordWrap/>
        <w:overflowPunct/>
        <w:topLinePunct w:val="0"/>
        <w:bidi w:val="0"/>
        <w:spacing w:line="360" w:lineRule="auto"/>
        <w:ind w:firstLine="0"/>
        <w:rPr>
          <w:rFonts w:hint="default" w:ascii="Times New Roman" w:hAnsi="Times New Roman" w:eastAsia="宋体" w:cs="Times New Roman"/>
          <w:color w:val="auto"/>
          <w:sz w:val="30"/>
          <w:szCs w:val="30"/>
          <w:lang w:val="en-US" w:eastAsia="zh-CN"/>
        </w:rPr>
      </w:pPr>
      <w:bookmarkStart w:id="32" w:name="_Toc12812"/>
      <w:r>
        <w:rPr>
          <w:rFonts w:hint="default" w:ascii="Times New Roman" w:hAnsi="Times New Roman" w:eastAsia="宋体" w:cs="Times New Roman"/>
          <w:color w:val="auto"/>
          <w:sz w:val="30"/>
          <w:szCs w:val="30"/>
          <w:lang w:val="en-US" w:eastAsia="zh-CN"/>
        </w:rPr>
        <w:t>2 区域环境概况</w:t>
      </w:r>
      <w:bookmarkEnd w:id="32"/>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33" w:name="_Toc31916"/>
      <w:bookmarkStart w:id="34" w:name="_Toc3422"/>
      <w:r>
        <w:rPr>
          <w:rFonts w:hint="default" w:ascii="Times New Roman" w:hAnsi="Times New Roman" w:eastAsia="宋体" w:cs="Times New Roman"/>
          <w:color w:val="auto"/>
          <w:sz w:val="28"/>
          <w:szCs w:val="28"/>
          <w:lang w:val="en-US" w:eastAsia="zh-CN"/>
        </w:rPr>
        <w:t>2.1 场地地理位置</w:t>
      </w:r>
      <w:bookmarkEnd w:id="33"/>
      <w:bookmarkEnd w:id="34"/>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任县处河北省南部，华北平原南部，地处东经114°34′～114°54′，北纬37°05′～37°16′之间。东靠巨鹿、平乡，西连邢台、内丘，南依南和，北接隆尧。任县东西最大横距30.8km，南北最大纵距23.2 km，任县县城位于县境西南部。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邢台兴安液压机械有限公司位于邢台市任县工业区</w:t>
      </w:r>
      <w:r>
        <w:rPr>
          <w:rFonts w:hint="default" w:ascii="Times New Roman" w:hAnsi="Times New Roman" w:eastAsia="宋体" w:cs="Times New Roman"/>
          <w:color w:val="auto"/>
        </w:rPr>
        <w:t>永康大街</w:t>
      </w:r>
      <w:r>
        <w:rPr>
          <w:rFonts w:hint="default" w:ascii="Times New Roman" w:hAnsi="Times New Roman" w:eastAsia="宋体" w:cs="Times New Roman"/>
          <w:color w:val="auto"/>
          <w:lang w:eastAsia="zh-CN"/>
        </w:rPr>
        <w:t>与</w:t>
      </w:r>
      <w:r>
        <w:rPr>
          <w:rFonts w:hint="default" w:ascii="Times New Roman" w:hAnsi="Times New Roman" w:eastAsia="宋体" w:cs="Times New Roman"/>
          <w:color w:val="auto"/>
        </w:rPr>
        <w:t>东环路</w:t>
      </w:r>
      <w:r>
        <w:rPr>
          <w:rFonts w:hint="default" w:ascii="Times New Roman" w:hAnsi="Times New Roman" w:eastAsia="宋体" w:cs="Times New Roman"/>
          <w:color w:val="auto"/>
          <w:lang w:eastAsia="zh-CN"/>
        </w:rPr>
        <w:t>交口西北</w:t>
      </w:r>
      <w:r>
        <w:rPr>
          <w:rFonts w:hint="default" w:ascii="Times New Roman" w:hAnsi="Times New Roman" w:eastAsia="宋体" w:cs="Times New Roman"/>
          <w:color w:val="auto"/>
        </w:rPr>
        <w:t>侧</w:t>
      </w:r>
      <w:r>
        <w:rPr>
          <w:rFonts w:hint="default" w:ascii="Times New Roman" w:hAnsi="Times New Roman" w:eastAsia="宋体" w:cs="Times New Roman"/>
          <w:color w:val="auto"/>
          <w:lang w:val="en-US" w:eastAsia="zh-CN"/>
        </w:rPr>
        <w:t>，场区中心坐标为E 114°39′18.12″，N 37°8′41.32″，场地地理位置见图2.1-1。</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anchor distT="0" distB="0" distL="114300" distR="114300" simplePos="0" relativeHeight="2116291584" behindDoc="0" locked="0" layoutInCell="1" allowOverlap="1">
            <wp:simplePos x="0" y="0"/>
            <wp:positionH relativeFrom="column">
              <wp:posOffset>4678680</wp:posOffset>
            </wp:positionH>
            <wp:positionV relativeFrom="paragraph">
              <wp:posOffset>103505</wp:posOffset>
            </wp:positionV>
            <wp:extent cx="512445" cy="695325"/>
            <wp:effectExtent l="0" t="0" r="1905" b="9525"/>
            <wp:wrapNone/>
            <wp:docPr id="5" name="图片 2" descr="157602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76029038"/>
                    <pic:cNvPicPr>
                      <a:picLocks noChangeAspect="1"/>
                    </pic:cNvPicPr>
                  </pic:nvPicPr>
                  <pic:blipFill>
                    <a:blip r:embed="rId9"/>
                    <a:stretch>
                      <a:fillRect/>
                    </a:stretch>
                  </pic:blipFill>
                  <pic:spPr>
                    <a:xfrm>
                      <a:off x="0" y="0"/>
                      <a:ext cx="512445" cy="695325"/>
                    </a:xfrm>
                    <a:prstGeom prst="rect">
                      <a:avLst/>
                    </a:prstGeom>
                    <a:noFill/>
                    <a:ln>
                      <a:noFill/>
                    </a:ln>
                  </pic:spPr>
                </pic:pic>
              </a:graphicData>
            </a:graphic>
          </wp:anchor>
        </w:drawing>
      </w:r>
      <w:r>
        <w:rPr>
          <w:rFonts w:hint="default" w:ascii="Times New Roman" w:hAnsi="Times New Roman" w:eastAsia="宋体" w:cs="Times New Roman"/>
          <w:color w:val="auto"/>
          <w:lang w:val="en-US" w:eastAsia="zh-CN"/>
        </w:rPr>
        <w:drawing>
          <wp:inline distT="0" distB="0" distL="114300" distR="114300">
            <wp:extent cx="5248275" cy="4175125"/>
            <wp:effectExtent l="0" t="0" r="9525" b="15875"/>
            <wp:docPr id="12" name="图片 15" descr="8d15d7950d3d5959061d7fd25a3c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8d15d7950d3d5959061d7fd25a3c2af"/>
                    <pic:cNvPicPr>
                      <a:picLocks noChangeAspect="1"/>
                    </pic:cNvPicPr>
                  </pic:nvPicPr>
                  <pic:blipFill>
                    <a:blip r:embed="rId13"/>
                    <a:stretch>
                      <a:fillRect/>
                    </a:stretch>
                  </pic:blipFill>
                  <pic:spPr>
                    <a:xfrm>
                      <a:off x="0" y="0"/>
                      <a:ext cx="5248275" cy="41751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图2.1-1  厂区地理位置</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35" w:name="_Toc12768"/>
      <w:bookmarkStart w:id="36" w:name="_Toc8338"/>
      <w:r>
        <w:rPr>
          <w:rFonts w:hint="default" w:ascii="Times New Roman" w:hAnsi="Times New Roman" w:eastAsia="宋体" w:cs="Times New Roman"/>
          <w:color w:val="auto"/>
          <w:sz w:val="28"/>
          <w:szCs w:val="28"/>
          <w:lang w:val="en-US" w:eastAsia="zh-CN"/>
        </w:rPr>
        <w:t>2.2 自然环境概况</w:t>
      </w:r>
      <w:bookmarkEnd w:id="35"/>
      <w:bookmarkEnd w:id="36"/>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37" w:name="_Toc3278"/>
      <w:bookmarkStart w:id="38" w:name="_Toc21442"/>
      <w:r>
        <w:rPr>
          <w:rFonts w:hint="default" w:ascii="Times New Roman" w:hAnsi="Times New Roman" w:eastAsia="宋体" w:cs="Times New Roman"/>
          <w:color w:val="auto"/>
          <w:lang w:val="en-US" w:eastAsia="zh-CN"/>
        </w:rPr>
        <w:t>2.2.1 地形地貌</w:t>
      </w:r>
      <w:bookmarkEnd w:id="37"/>
      <w:bookmarkEnd w:id="38"/>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任县位于华北平原南部，地处太行山东麓，由河流、洪水冲积及湖沼沉积而形成，结构类型复杂。地势西高东低，由西南向东北倾降</w:t>
      </w:r>
      <w:r>
        <w:rPr>
          <w:rFonts w:hint="default" w:ascii="Times New Roman" w:hAnsi="Times New Roman" w:eastAsia="宋体" w:cs="Times New Roman"/>
          <w:color w:val="auto"/>
          <w:lang w:eastAsia="zh-CN"/>
        </w:rPr>
        <w:t>。区内地势低平，地面起伏小，组成以砂质粘土和粘土为主</w:t>
      </w:r>
      <w:r>
        <w:rPr>
          <w:rFonts w:hint="default" w:ascii="Times New Roman" w:hAnsi="Times New Roman" w:eastAsia="宋体" w:cs="Times New Roman"/>
          <w:color w:val="auto"/>
        </w:rPr>
        <w:t>。西部为太行山冲积平原，土地沙质多。任县地势平坦，土地肥沃，地下水源丰富。地下水位浅，部分地方有沼泽化现象。河流虽然较多，因地势低洼，排水不畅，土地洪涝和盐碱化灾害严重。任县地处“大陆泽宁晋泊低平原区中部”，海拔20～35米。</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邢台兴安液压机械有限公司</w:t>
      </w:r>
      <w:r>
        <w:rPr>
          <w:rFonts w:hint="default" w:ascii="Times New Roman" w:hAnsi="Times New Roman" w:eastAsia="宋体" w:cs="Times New Roman"/>
          <w:color w:val="auto"/>
        </w:rPr>
        <w:t>位于任县北部，属平原地形，四周平坦、开阔，海拔高度</w:t>
      </w:r>
      <w:r>
        <w:rPr>
          <w:rFonts w:hint="default" w:ascii="Times New Roman" w:hAnsi="Times New Roman" w:eastAsia="宋体" w:cs="Times New Roman"/>
          <w:color w:val="auto"/>
          <w:lang w:eastAsia="zh-CN"/>
        </w:rPr>
        <w:t>约</w:t>
      </w:r>
      <w:r>
        <w:rPr>
          <w:rFonts w:hint="default" w:ascii="Times New Roman" w:hAnsi="Times New Roman" w:eastAsia="宋体" w:cs="Times New Roman"/>
          <w:color w:val="auto"/>
        </w:rPr>
        <w:t>31m。</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39" w:name="_Toc1943"/>
      <w:bookmarkStart w:id="40" w:name="_Toc7932"/>
      <w:r>
        <w:rPr>
          <w:rFonts w:hint="default" w:ascii="Times New Roman" w:hAnsi="Times New Roman" w:eastAsia="宋体" w:cs="Times New Roman"/>
          <w:color w:val="auto"/>
          <w:lang w:val="en-US" w:eastAsia="zh-CN"/>
        </w:rPr>
        <w:t>2.2.2 气候气象</w:t>
      </w:r>
      <w:bookmarkEnd w:id="39"/>
      <w:bookmarkEnd w:id="40"/>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任县属</w:t>
      </w:r>
      <w:r>
        <w:rPr>
          <w:rFonts w:hint="default" w:ascii="Times New Roman" w:hAnsi="Times New Roman" w:eastAsia="宋体" w:cs="Times New Roman"/>
          <w:color w:val="auto"/>
          <w:lang w:eastAsia="zh-CN"/>
        </w:rPr>
        <w:t>东部季风型，南</w:t>
      </w:r>
      <w:r>
        <w:rPr>
          <w:rFonts w:hint="default" w:ascii="Times New Roman" w:hAnsi="Times New Roman" w:eastAsia="宋体" w:cs="Times New Roman"/>
          <w:color w:val="auto"/>
        </w:rPr>
        <w:t>温带</w:t>
      </w:r>
      <w:r>
        <w:rPr>
          <w:rFonts w:hint="default" w:ascii="Times New Roman" w:hAnsi="Times New Roman" w:eastAsia="宋体" w:cs="Times New Roman"/>
          <w:color w:val="auto"/>
          <w:lang w:eastAsia="zh-CN"/>
        </w:rPr>
        <w:t>气候</w:t>
      </w:r>
      <w:r>
        <w:rPr>
          <w:rFonts w:hint="default" w:ascii="Times New Roman" w:hAnsi="Times New Roman" w:eastAsia="宋体" w:cs="Times New Roman"/>
          <w:color w:val="auto"/>
        </w:rPr>
        <w:t>半湿润区，大陆性季风气候明显，四季分明，冬夏温差较大。春季干旱多风，夏季炎热多雨，秋季温和凉爽，冬季寒冷干燥。</w:t>
      </w:r>
      <w:r>
        <w:rPr>
          <w:rFonts w:hint="default" w:ascii="Times New Roman" w:hAnsi="Times New Roman" w:eastAsia="宋体" w:cs="Times New Roman"/>
          <w:color w:val="auto"/>
          <w:lang w:eastAsia="zh-CN"/>
        </w:rPr>
        <w:t>根据近年</w:t>
      </w:r>
      <w:r>
        <w:rPr>
          <w:rFonts w:hint="default" w:ascii="Times New Roman" w:hAnsi="Times New Roman" w:eastAsia="宋体" w:cs="Times New Roman"/>
          <w:color w:val="auto"/>
        </w:rPr>
        <w:t>任县气象</w:t>
      </w:r>
      <w:r>
        <w:rPr>
          <w:rFonts w:hint="default" w:ascii="Times New Roman" w:hAnsi="Times New Roman" w:eastAsia="宋体" w:cs="Times New Roman"/>
          <w:color w:val="auto"/>
          <w:lang w:eastAsia="zh-CN"/>
        </w:rPr>
        <w:t>统计结果，</w:t>
      </w:r>
      <w:r>
        <w:rPr>
          <w:rFonts w:hint="default" w:ascii="Times New Roman" w:hAnsi="Times New Roman" w:eastAsia="宋体" w:cs="Times New Roman"/>
          <w:color w:val="auto"/>
        </w:rPr>
        <w:t>主要气候气象参数见表</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2-1。</w:t>
      </w:r>
    </w:p>
    <w:p>
      <w:pPr>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2-</w:t>
      </w:r>
      <w:r>
        <w:rPr>
          <w:rFonts w:hint="default" w:ascii="Times New Roman" w:hAnsi="Times New Roman" w:eastAsia="宋体" w:cs="Times New Roman"/>
          <w:b/>
          <w:bCs/>
          <w:color w:val="auto"/>
          <w:lang w:val="en-US" w:eastAsia="zh-CN"/>
        </w:rPr>
        <w:t xml:space="preserve">1  </w:t>
      </w:r>
      <w:r>
        <w:rPr>
          <w:rFonts w:hint="default" w:ascii="Times New Roman" w:hAnsi="Times New Roman" w:eastAsia="宋体" w:cs="Times New Roman"/>
          <w:b/>
          <w:bCs/>
          <w:color w:val="auto"/>
        </w:rPr>
        <w:t>气候气象参数一览表</w:t>
      </w:r>
    </w:p>
    <w:tbl>
      <w:tblPr>
        <w:tblStyle w:val="16"/>
        <w:tblW w:w="82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40"/>
        <w:gridCol w:w="1773"/>
        <w:gridCol w:w="640"/>
        <w:gridCol w:w="781"/>
        <w:gridCol w:w="640"/>
        <w:gridCol w:w="2198"/>
        <w:gridCol w:w="640"/>
        <w:gridCol w:w="9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781" w:type="dxa"/>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数据</w:t>
            </w:r>
          </w:p>
        </w:tc>
        <w:tc>
          <w:tcPr>
            <w:tcW w:w="640" w:type="dxa"/>
            <w:tcBorders>
              <w:top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98" w:type="dxa"/>
            <w:tcBorders>
              <w:top w:val="single" w:color="auto" w:sz="8"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年平均温度</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81" w:type="dxa"/>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14.2</w:t>
            </w:r>
          </w:p>
        </w:tc>
        <w:tc>
          <w:tcPr>
            <w:tcW w:w="64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2198"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年平均降雨量</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mm</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年极端最高温度</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781" w:type="dxa"/>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64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198"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年平均蒸发量</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Mm</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年极端最低温度</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781" w:type="dxa"/>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p>
        </w:tc>
        <w:tc>
          <w:tcPr>
            <w:tcW w:w="64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198"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年平均日照时数</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24</w:t>
            </w:r>
            <w:r>
              <w:rPr>
                <w:rFonts w:hint="default" w:ascii="Times New Roman" w:hAnsi="Times New Roman" w:eastAsia="宋体" w:cs="Times New Roman"/>
                <w:color w:val="auto"/>
                <w:sz w:val="21"/>
                <w:szCs w:val="21"/>
                <w:lang w:val="en-US" w:eastAsia="zh-CN"/>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年平均风速</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m/s</w:t>
            </w:r>
          </w:p>
        </w:tc>
        <w:tc>
          <w:tcPr>
            <w:tcW w:w="781" w:type="dxa"/>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1.6</w:t>
            </w:r>
          </w:p>
        </w:tc>
        <w:tc>
          <w:tcPr>
            <w:tcW w:w="64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198"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年平均相对湿度</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9" w:hRule="atLeast"/>
          <w:jc w:val="center"/>
        </w:trPr>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近30年最多风向</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781" w:type="dxa"/>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w:t>
            </w:r>
          </w:p>
        </w:tc>
        <w:tc>
          <w:tcPr>
            <w:tcW w:w="640" w:type="dxa"/>
            <w:tcBorders>
              <w:top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198" w:type="dxa"/>
            <w:tcBorders>
              <w:top w:val="single" w:color="auto" w:sz="4" w:space="0"/>
              <w:left w:val="single" w:color="auto" w:sz="4" w:space="0"/>
              <w:bottom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全年无霜期</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197</w:t>
            </w:r>
          </w:p>
        </w:tc>
      </w:tr>
    </w:tbl>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41" w:name="_Toc2717"/>
      <w:bookmarkStart w:id="42" w:name="_Toc1460"/>
      <w:r>
        <w:rPr>
          <w:rFonts w:hint="default" w:ascii="Times New Roman" w:hAnsi="Times New Roman" w:eastAsia="宋体" w:cs="Times New Roman"/>
          <w:color w:val="auto"/>
          <w:lang w:val="en-US" w:eastAsia="zh-CN"/>
        </w:rPr>
        <w:t>2.2.3 水文地质</w:t>
      </w:r>
      <w:bookmarkEnd w:id="41"/>
      <w:bookmarkEnd w:id="42"/>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2.2.3.1水文情况</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任县地处“九河下梢”，河道众多，境内地表水系主要包括白马河、南澧河、北澧河、沙洺河、顺水河、牛尾河、留垒河、滏阳河，均属子牙河系，滏阳河上游支流。流经县境内的这8条河流，除留垒河、牛尾河一般年份有少量的水可灌溉外，其余河道均系汛期泄洪、排涝的季节性河流，上游基流较小，下游常年干涸，每适逢汛期、洪水暴涨暴落，源短流急，多有洪涝。当地最高洪水位线32.9</w:t>
      </w:r>
      <w:r>
        <w:rPr>
          <w:rFonts w:hint="eastAsia" w:eastAsia="宋体" w:cs="Times New Roman"/>
          <w:color w:val="auto"/>
          <w:lang w:val="en-US" w:eastAsia="zh-CN"/>
        </w:rPr>
        <w:t xml:space="preserve"> </w:t>
      </w:r>
      <w:r>
        <w:rPr>
          <w:rFonts w:hint="default" w:ascii="Times New Roman" w:hAnsi="Times New Roman" w:eastAsia="宋体" w:cs="Times New Roman"/>
          <w:color w:val="auto"/>
        </w:rPr>
        <w:t>m。</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白马河发源于邢台戈寨，由西南方向流入任县境内，经过邢南公路南侧流经大陆泽，在郑家庄村以东汇澧河。县境内长23公里，流域面积80平方公里。</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任县区域地层的分布、岩性条件等水文地质特征，任县地下水属于第四系松散岩类空隙水，赋存于冲洪积扇冲洪积砂、砂砾石层中，分为浅层-微承压水和深层承压水。在水平方向上为太行山冲积扇前缘浅层零星分布区和中部湖积、冲积平原浅部咸、淡水乡间分布区。从垂直方向上看，可划分为四个含水组：</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第一含水组底板埋深滏西在10～40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m、滏东40～60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m，单位涌水量滏西河道附近为30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t/h.m，其余大部分为2.5～10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t/h.m。</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第二含水组底板埋深滏西在20～140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m，滏东在140～250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m，单位涌水量滏西河道附近为15</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t/h.m，其余大部分为2.5～10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t/h.m。任县境内滏阳河以西一带含水层厚度大，颗粒粗，由卵砾石、中粗砂组成，径流条件好，为全淡水区。滏阳河以东则含水层层次渐多，厚度变薄、粒度变细，以中细砂—粉砂为主。</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第三层含水组底板埋深滏西在300～370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m，滏东在340～420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m，单位涌水量大部分为5～10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t/h.m。</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第四层含水组底板埋深滏西在460～560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m，滏东在520～580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m，单位涌水量滏西多小于5</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t/h.m，滏东多为5～10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t/h.m，开采较少。</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从区域分布看，地下水分布大致可分为2个区。</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①黑龙港平原区，包括滏阳河以东地区，面积45</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，该区水资源贫乏，地下水的垂直分布大多为浅层淡水—咸水—深层淡水。多年平均降水量527.3</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mm，主要由大气降水入渗和地表水入渗补给，该区年可开采量179.5万m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②滏西平原区，包括任县滏阳河以西地区，面积386</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，主要为第四纪松散岩类孔隙含水岩系，含水层以粗砂、中粗砂为主，厚度10～15</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m。多年平均降水量519.4</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mm，该区为冲洪积平原全淡水区，水资源相对丰富，且水质较好。主要由地表水体入渗、大气降水入渗和山区地下水侧向入渗补给。单位涌水量2.5～20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/h.m，该区年可开采量6619.7万m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邢台兴安液压机械有限公司</w:t>
      </w:r>
      <w:r>
        <w:rPr>
          <w:rFonts w:hint="default" w:ascii="Times New Roman" w:hAnsi="Times New Roman" w:eastAsia="宋体" w:cs="Times New Roman"/>
          <w:color w:val="auto"/>
          <w:lang w:eastAsia="zh-CN"/>
        </w:rPr>
        <w:t>距离最近的地表水系牛尾河</w:t>
      </w:r>
      <w:r>
        <w:rPr>
          <w:rFonts w:hint="default" w:ascii="Times New Roman" w:hAnsi="Times New Roman" w:eastAsia="宋体" w:cs="Times New Roman"/>
          <w:color w:val="auto"/>
          <w:lang w:val="en-US" w:eastAsia="zh-CN"/>
        </w:rPr>
        <w:t>600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其废水污染源主要为生产工艺废水和生活污水，以上废水经处理达标后除大部分回用外其余排入任县污水处理厂，即项目产生的废水不直接排入地表水体，项目所在区域的雨水随地势流入牛尾河。邢台兴安液压机械有限公司工程所在区域位于任县北部，地下水分布属滏西平原区，流向</w:t>
      </w:r>
      <w:r>
        <w:rPr>
          <w:rFonts w:hint="default" w:ascii="Times New Roman" w:hAnsi="Times New Roman" w:eastAsia="宋体" w:cs="Times New Roman"/>
          <w:b/>
          <w:bCs/>
          <w:color w:val="auto"/>
          <w:lang w:val="en-US" w:eastAsia="zh-CN"/>
        </w:rPr>
        <w:t>自西向东</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sz w:val="24"/>
          <w:szCs w:val="24"/>
          <w:lang w:eastAsia="zh-CN"/>
        </w:rPr>
        <w:t>根据现场实际勘探，</w:t>
      </w:r>
      <w:r>
        <w:rPr>
          <w:rFonts w:hint="default" w:ascii="Times New Roman" w:hAnsi="Times New Roman" w:eastAsia="宋体" w:cs="Times New Roman"/>
          <w:color w:val="auto"/>
          <w:lang w:val="en-US" w:eastAsia="zh-CN"/>
        </w:rPr>
        <w:t>邢台兴安液压机械有限公司所在区域地下水第一含水层埋深约40</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m。</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2.2.3.2地质情况</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任县位于太行山前沿断裂的东侧华北断陷平原上，地质构造属华北陆台，跨占冀、鲁、豫、皖四省的大型新生代断裂拗陷的北部，四周被深断裂或大断裂围限。根据物探、钻孔资料，任县属前新生代的发展历史。在太古代—早原古代结晶基底之上，发育有中—晚无古代及早古代浅海相碳盐建造，晚古生代滨海转陆相含煤建造。进入第三纪以来，断裂活动剧烈，形成众多的小型断陷盆地，显示大陆裂谷盆地性质。在区域差异性背景上，太行山东侧的华北拗陷区域内发育了一凸起和凹陷构造。任县南邻南和断凸，东邻广宗断凸、巨鹿断凹，西邻邯郸至北的大断裂带，使任县在当中形成一个低洼地带。晚第三纪至第四纪，在边界断裂的制约下，持续平稳地沉降，但差异活动不够明显。岩浆活动相应减弱，湖泊或河流相堆积厚度1200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m～2600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任县上覆地层属新生界第四系，第四纪地层层次齐全，堆积类型复杂，以冲积、洪积、湖积以及过渡类型为主，间有海积、风积以及冰水堆积和火山堆积等类型。地层划分为三组、七段和四统。各组、段地层的一般特征如下：</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）各组一般</w:t>
      </w:r>
      <w:r>
        <w:rPr>
          <w:rFonts w:hint="default" w:ascii="Times New Roman" w:hAnsi="Times New Roman" w:eastAsia="宋体" w:cs="Times New Roman"/>
          <w:color w:val="auto"/>
          <w:sz w:val="24"/>
          <w:szCs w:val="24"/>
        </w:rPr>
        <w:t>特征</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安组：为一套冲积、冲洪积与冰川—冰水堆积及冲积、湖积的粘土、亚粘土夹砂砾石层堆积，普遍含铁锰结核，局部粘土含风化长石砂粒，具不明显的混粒结构。下段以棕红色为基色、混锈黄色、灰绿色及斑杂色的粘土夹砾层。底界面深度一般为350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m～550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m，最深可达600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m以上。上段以红棕色、棕色为基色、混锈黄色为主。底界面深度一般为300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m～400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杨柳青组：为一套冲积、洪积与冰水堆积及冲积、湖积的含砂、亚粘土夹砂砾石层的堆积，其中可见明显的长石风化碎屑。根据气候、岩性及沉积旋回特征可分为两段。下段以棕色、浅红色夹锈黄色砂质粘土夹砂砾石层为主。底界面深度一般为250～350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m。上段为棕黄色、黄棕色为主的冲洪积、冲积、河湖积的亚粘土细砂层。底界深度一般为200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m～280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欧庄组：为一套冲积、洪积和冲积、湖积为主的沉积物。主要由黄色、棕色具黄土状结构的粘土质亚砂土、亚粘土夹砂砾石层组成。根据岩性及气候特征等划分为三段。下段：底界面一般埋深120～170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m。由冲洪积冲湖积堆积物构成。中段：底界面埋深一般在90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m～120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m。由冲洪积、冲积、湖沼积及局部海相沉积物构成。上段：底界面一般深度为50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m～70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m。由冲积、冲积—湖沼的灰黄、黄灰色细砂层、亚粘土、亚砂土组成，具水平层理和斜层理。</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）各</w:t>
      </w:r>
      <w:r>
        <w:rPr>
          <w:rFonts w:hint="default" w:ascii="Times New Roman" w:hAnsi="Times New Roman" w:eastAsia="宋体" w:cs="Times New Roman"/>
          <w:color w:val="auto"/>
          <w:sz w:val="24"/>
          <w:szCs w:val="24"/>
        </w:rPr>
        <w:t>统一般特征</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下更新统(Ｑ1):为一套冰、冰水沉积物，岩性为灰绿、棕红间杂以黄色的泥砾层为主。厚度15～40米，底板埋深210～260米。</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中更新统(Ｑ2)：为一套冲洪积、湖积和部分冰水沉积物。岩性为棕红、灰绿色粉质粘土夹风化砂、含砾粗砂。底板埋深195～220米。</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上更新统(Ｑ3)：为一套冲积物。岩性下部为砂砾卵石层，上部为粉土、粉质粘土夹砂层，底板埋深30～60米。</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全新统(Ｑ4)：以冲积为主，夹有湖沼相沉积。岩性主要灰黄、浅黄色粉土夹薄层淤泥质粘土、粉细砂层和风积砂，土质疏松，常见未钙化的古土壤层。底板深度一般在5～20米。</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第四系地层之下覆有二叠、石岩、奥陶系地层，其中二叠、石岩系地层主要由砂页岩构成。</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lang w:val="en-US" w:eastAsia="zh-CN"/>
        </w:rPr>
        <w:t>邢台兴安液压机械有限公司</w:t>
      </w:r>
      <w:r>
        <w:rPr>
          <w:rFonts w:hint="default" w:ascii="Times New Roman" w:hAnsi="Times New Roman" w:eastAsia="宋体" w:cs="Times New Roman"/>
          <w:color w:val="auto"/>
          <w:sz w:val="24"/>
          <w:szCs w:val="24"/>
        </w:rPr>
        <w:t>所在区域地层主要为第四系全新统，地层堆积类型为河流冲积类型。地层主要为第四系沉积黄土状粉土、黄土状粉质粘土和粉土层。根据实际钻探情况，本场地</w:t>
      </w:r>
      <w:r>
        <w:rPr>
          <w:rFonts w:hint="default" w:ascii="Times New Roman" w:hAnsi="Times New Roman" w:eastAsia="宋体" w:cs="Times New Roman"/>
          <w:color w:val="auto"/>
          <w:sz w:val="24"/>
          <w:szCs w:val="24"/>
          <w:lang w:eastAsia="zh-CN"/>
        </w:rPr>
        <w:t>在最大钻探深度</w:t>
      </w:r>
      <w:r>
        <w:rPr>
          <w:rFonts w:hint="default" w:ascii="Times New Roman" w:hAnsi="Times New Roman" w:eastAsia="宋体" w:cs="Times New Roman"/>
          <w:color w:val="auto"/>
          <w:sz w:val="24"/>
          <w:szCs w:val="24"/>
          <w:lang w:val="en-US" w:eastAsia="zh-CN"/>
        </w:rPr>
        <w:t>40</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m内</w:t>
      </w:r>
      <w:r>
        <w:rPr>
          <w:rFonts w:hint="default" w:ascii="Times New Roman" w:hAnsi="Times New Roman" w:eastAsia="宋体" w:cs="Times New Roman"/>
          <w:color w:val="auto"/>
          <w:sz w:val="24"/>
          <w:szCs w:val="24"/>
        </w:rPr>
        <w:t>土层</w:t>
      </w:r>
      <w:r>
        <w:rPr>
          <w:rFonts w:hint="default" w:ascii="Times New Roman" w:hAnsi="Times New Roman" w:eastAsia="宋体" w:cs="Times New Roman"/>
          <w:color w:val="auto"/>
          <w:sz w:val="24"/>
          <w:szCs w:val="24"/>
          <w:lang w:eastAsia="zh-CN"/>
        </w:rPr>
        <w:t>自上而下</w:t>
      </w:r>
      <w:r>
        <w:rPr>
          <w:rFonts w:hint="default" w:ascii="Times New Roman" w:hAnsi="Times New Roman" w:eastAsia="宋体" w:cs="Times New Roman"/>
          <w:color w:val="auto"/>
          <w:sz w:val="24"/>
          <w:szCs w:val="24"/>
        </w:rPr>
        <w:t>概化</w:t>
      </w:r>
      <w:r>
        <w:rPr>
          <w:rFonts w:hint="eastAsia" w:eastAsia="宋体" w:cs="Times New Roman"/>
          <w:color w:val="auto"/>
          <w:sz w:val="24"/>
          <w:szCs w:val="24"/>
          <w:lang w:eastAsia="zh-CN"/>
        </w:rPr>
        <w:t>情况见表</w:t>
      </w:r>
      <w:r>
        <w:rPr>
          <w:rFonts w:hint="eastAsia" w:eastAsia="宋体" w:cs="Times New Roman"/>
          <w:color w:val="auto"/>
          <w:sz w:val="24"/>
          <w:szCs w:val="24"/>
          <w:lang w:val="en-US" w:eastAsia="zh-CN"/>
        </w:rPr>
        <w:t>2.2-2。现场钻孔柱状图见图2.2-1。地质剖面图见图2.2-2。</w:t>
      </w:r>
    </w:p>
    <w:p>
      <w:pPr>
        <w:pStyle w:val="2"/>
        <w:pageBreakBefore w:val="0"/>
        <w:kinsoku/>
        <w:wordWrap/>
        <w:overflowPunct/>
        <w:topLinePunct w:val="0"/>
        <w:bidi w:val="0"/>
        <w:spacing w:line="360" w:lineRule="auto"/>
        <w:rPr>
          <w:rFonts w:hint="default" w:ascii="Times New Roman" w:hAnsi="Times New Roman" w:eastAsia="宋体" w:cs="Times New Roman"/>
          <w:color w:val="auto"/>
          <w:sz w:val="24"/>
          <w:szCs w:val="24"/>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2.2-2  土层概化情况表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650"/>
        <w:gridCol w:w="712"/>
        <w:gridCol w:w="777"/>
        <w:gridCol w:w="648"/>
        <w:gridCol w:w="1063"/>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深度（</w:t>
            </w:r>
            <w:r>
              <w:rPr>
                <w:rFonts w:hint="default" w:ascii="Times New Roman" w:hAnsi="Times New Roman" w:eastAsia="宋体" w:cs="Times New Roman"/>
                <w:b/>
                <w:bCs/>
                <w:color w:val="auto"/>
                <w:sz w:val="21"/>
                <w:szCs w:val="21"/>
                <w:vertAlign w:val="baseline"/>
                <w:lang w:val="en-US" w:eastAsia="zh-CN"/>
              </w:rPr>
              <w:t>m</w:t>
            </w:r>
            <w:r>
              <w:rPr>
                <w:rFonts w:hint="default" w:ascii="Times New Roman" w:hAnsi="Times New Roman" w:eastAsia="宋体" w:cs="Times New Roman"/>
                <w:b/>
                <w:bCs/>
                <w:color w:val="auto"/>
                <w:sz w:val="21"/>
                <w:szCs w:val="21"/>
                <w:vertAlign w:val="baseline"/>
                <w:lang w:eastAsia="zh-CN"/>
              </w:rPr>
              <w:t>）</w:t>
            </w:r>
          </w:p>
        </w:tc>
        <w:tc>
          <w:tcPr>
            <w:tcW w:w="65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岩土名称</w:t>
            </w:r>
          </w:p>
        </w:tc>
        <w:tc>
          <w:tcPr>
            <w:tcW w:w="7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颜色</w:t>
            </w:r>
          </w:p>
        </w:tc>
        <w:tc>
          <w:tcPr>
            <w:tcW w:w="77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状态</w:t>
            </w:r>
          </w:p>
        </w:tc>
        <w:tc>
          <w:tcPr>
            <w:tcW w:w="648"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湿度</w:t>
            </w:r>
          </w:p>
        </w:tc>
        <w:tc>
          <w:tcPr>
            <w:tcW w:w="106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紧实度</w:t>
            </w:r>
          </w:p>
        </w:tc>
        <w:tc>
          <w:tcPr>
            <w:tcW w:w="3594"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成分、包含物及其他特征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65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素填</w:t>
            </w:r>
          </w:p>
        </w:tc>
        <w:tc>
          <w:tcPr>
            <w:tcW w:w="7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黄褐</w:t>
            </w:r>
          </w:p>
        </w:tc>
        <w:tc>
          <w:tcPr>
            <w:tcW w:w="77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可塑</w:t>
            </w:r>
          </w:p>
        </w:tc>
        <w:tc>
          <w:tcPr>
            <w:tcW w:w="648"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稍</w:t>
            </w:r>
          </w:p>
        </w:tc>
        <w:tc>
          <w:tcPr>
            <w:tcW w:w="106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稍</w:t>
            </w:r>
          </w:p>
        </w:tc>
        <w:tc>
          <w:tcPr>
            <w:tcW w:w="3594"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以粘性土为主，表层为约</w:t>
            </w:r>
            <w:r>
              <w:rPr>
                <w:rFonts w:hint="default" w:ascii="Times New Roman" w:hAnsi="Times New Roman" w:eastAsia="宋体" w:cs="Times New Roman"/>
                <w:color w:val="auto"/>
                <w:sz w:val="21"/>
                <w:szCs w:val="21"/>
                <w:vertAlign w:val="baseline"/>
                <w:lang w:val="en-US" w:eastAsia="zh-CN"/>
              </w:rPr>
              <w:t>10cm厚的硬化层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0.9-8.4</w:t>
            </w:r>
          </w:p>
        </w:tc>
        <w:tc>
          <w:tcPr>
            <w:tcW w:w="65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粉粘</w:t>
            </w:r>
          </w:p>
        </w:tc>
        <w:tc>
          <w:tcPr>
            <w:tcW w:w="7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黄褐</w:t>
            </w:r>
          </w:p>
        </w:tc>
        <w:tc>
          <w:tcPr>
            <w:tcW w:w="77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可塑</w:t>
            </w:r>
          </w:p>
        </w:tc>
        <w:tc>
          <w:tcPr>
            <w:tcW w:w="648"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稍</w:t>
            </w:r>
          </w:p>
        </w:tc>
        <w:tc>
          <w:tcPr>
            <w:tcW w:w="106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高</w:t>
            </w:r>
          </w:p>
        </w:tc>
        <w:tc>
          <w:tcPr>
            <w:tcW w:w="3594"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土质较均，偶见锈斑，氧化铁，干韧度中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8.4-11.1</w:t>
            </w:r>
          </w:p>
        </w:tc>
        <w:tc>
          <w:tcPr>
            <w:tcW w:w="65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细砂</w:t>
            </w:r>
          </w:p>
        </w:tc>
        <w:tc>
          <w:tcPr>
            <w:tcW w:w="7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灰黄</w:t>
            </w:r>
          </w:p>
        </w:tc>
        <w:tc>
          <w:tcPr>
            <w:tcW w:w="77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648"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稍</w:t>
            </w:r>
          </w:p>
        </w:tc>
        <w:tc>
          <w:tcPr>
            <w:tcW w:w="106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中</w:t>
            </w:r>
          </w:p>
        </w:tc>
        <w:tc>
          <w:tcPr>
            <w:tcW w:w="3594"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砂质不均，石英、长石为主，见有石子，局部夹有粉土薄层，级配差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11.1-18.7</w:t>
            </w:r>
          </w:p>
        </w:tc>
        <w:tc>
          <w:tcPr>
            <w:tcW w:w="65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粉粘</w:t>
            </w:r>
          </w:p>
        </w:tc>
        <w:tc>
          <w:tcPr>
            <w:tcW w:w="7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黄褐</w:t>
            </w:r>
          </w:p>
        </w:tc>
        <w:tc>
          <w:tcPr>
            <w:tcW w:w="77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可塑</w:t>
            </w:r>
          </w:p>
        </w:tc>
        <w:tc>
          <w:tcPr>
            <w:tcW w:w="648"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106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3594"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土质不均，见有锈斑，氧化铁，偶见小姜石，干韧度中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18.7-21.4</w:t>
            </w:r>
          </w:p>
        </w:tc>
        <w:tc>
          <w:tcPr>
            <w:tcW w:w="65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中砂</w:t>
            </w:r>
          </w:p>
        </w:tc>
        <w:tc>
          <w:tcPr>
            <w:tcW w:w="7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灰黄</w:t>
            </w:r>
          </w:p>
        </w:tc>
        <w:tc>
          <w:tcPr>
            <w:tcW w:w="77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648"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稍</w:t>
            </w:r>
          </w:p>
        </w:tc>
        <w:tc>
          <w:tcPr>
            <w:tcW w:w="106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中</w:t>
            </w:r>
          </w:p>
        </w:tc>
        <w:tc>
          <w:tcPr>
            <w:tcW w:w="3594"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砂质不均，石英、长石为主，见有云母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21.4-32.5</w:t>
            </w:r>
          </w:p>
        </w:tc>
        <w:tc>
          <w:tcPr>
            <w:tcW w:w="65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粉粘</w:t>
            </w:r>
          </w:p>
        </w:tc>
        <w:tc>
          <w:tcPr>
            <w:tcW w:w="7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黄褐</w:t>
            </w:r>
          </w:p>
        </w:tc>
        <w:tc>
          <w:tcPr>
            <w:tcW w:w="77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硬</w:t>
            </w:r>
          </w:p>
        </w:tc>
        <w:tc>
          <w:tcPr>
            <w:tcW w:w="648"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106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3594"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土质不均，见有锈斑，氧化铁，干韧度中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32.5-34.0</w:t>
            </w:r>
          </w:p>
        </w:tc>
        <w:tc>
          <w:tcPr>
            <w:tcW w:w="65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中砂</w:t>
            </w:r>
          </w:p>
        </w:tc>
        <w:tc>
          <w:tcPr>
            <w:tcW w:w="7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灰黄</w:t>
            </w:r>
          </w:p>
        </w:tc>
        <w:tc>
          <w:tcPr>
            <w:tcW w:w="77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648"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稍</w:t>
            </w:r>
          </w:p>
        </w:tc>
        <w:tc>
          <w:tcPr>
            <w:tcW w:w="106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3594"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砂质不均，石英、长石为主，混有粘性土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34.0-40.0</w:t>
            </w:r>
          </w:p>
        </w:tc>
        <w:tc>
          <w:tcPr>
            <w:tcW w:w="65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粉粘</w:t>
            </w:r>
          </w:p>
        </w:tc>
        <w:tc>
          <w:tcPr>
            <w:tcW w:w="7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黄褐</w:t>
            </w:r>
          </w:p>
        </w:tc>
        <w:tc>
          <w:tcPr>
            <w:tcW w:w="777"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可塑</w:t>
            </w:r>
          </w:p>
        </w:tc>
        <w:tc>
          <w:tcPr>
            <w:tcW w:w="648"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106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3594"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土质不均，含有沙粒，见有锈斑</w:t>
            </w:r>
          </w:p>
        </w:tc>
      </w:tr>
    </w:tbl>
    <w:p>
      <w:pPr>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drawing>
          <wp:inline distT="0" distB="0" distL="114300" distR="114300">
            <wp:extent cx="5274310" cy="7459345"/>
            <wp:effectExtent l="0" t="0" r="2540" b="8255"/>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14"/>
                    <a:stretch>
                      <a:fillRect/>
                    </a:stretch>
                  </pic:blipFill>
                  <pic:spPr>
                    <a:xfrm>
                      <a:off x="0" y="0"/>
                      <a:ext cx="5274310" cy="7459345"/>
                    </a:xfrm>
                    <a:prstGeom prst="rect">
                      <a:avLst/>
                    </a:prstGeom>
                  </pic:spPr>
                </pic:pic>
              </a:graphicData>
            </a:graphic>
          </wp:inline>
        </w:drawing>
      </w:r>
    </w:p>
    <w:p>
      <w:pPr>
        <w:bidi w:val="0"/>
        <w:jc w:val="center"/>
        <w:rPr>
          <w:rFonts w:hint="default"/>
          <w:b/>
          <w:bCs/>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b/>
          <w:bCs/>
          <w:lang w:val="en-US" w:eastAsia="zh-CN"/>
        </w:rPr>
        <w:t>图2.2-1  现场钻孔柱状图</w:t>
      </w:r>
    </w:p>
    <w:p>
      <w:pPr>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lang w:val="en-US" w:eastAsia="zh-CN"/>
        </w:rPr>
        <w:drawing>
          <wp:inline distT="0" distB="0" distL="114300" distR="114300">
            <wp:extent cx="4780915" cy="8783320"/>
            <wp:effectExtent l="0" t="0" r="17780" b="635"/>
            <wp:docPr id="14" name="图片 14" descr="任县兴安液压机械有限公司剖面1-Mod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任县兴安液压机械有限公司剖面1-Model_00"/>
                    <pic:cNvPicPr>
                      <a:picLocks noChangeAspect="1"/>
                    </pic:cNvPicPr>
                  </pic:nvPicPr>
                  <pic:blipFill>
                    <a:blip r:embed="rId15"/>
                    <a:srcRect l="9927" t="-1724" r="11674"/>
                    <a:stretch>
                      <a:fillRect/>
                    </a:stretch>
                  </pic:blipFill>
                  <pic:spPr>
                    <a:xfrm rot="16200000">
                      <a:off x="0" y="0"/>
                      <a:ext cx="4780915" cy="8783320"/>
                    </a:xfrm>
                    <a:prstGeom prst="rect">
                      <a:avLst/>
                    </a:prstGeom>
                  </pic:spPr>
                </pic:pic>
              </a:graphicData>
            </a:graphic>
          </wp:inline>
        </w:drawing>
      </w:r>
    </w:p>
    <w:p>
      <w:pPr>
        <w:pStyle w:val="2"/>
        <w:jc w:val="center"/>
        <w:rPr>
          <w:rFonts w:hint="default"/>
          <w:b/>
          <w:bCs/>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eastAsia="宋体" w:cs="Times New Roman"/>
          <w:b/>
          <w:bCs/>
          <w:color w:val="auto"/>
          <w:sz w:val="24"/>
          <w:szCs w:val="24"/>
          <w:lang w:val="en-US" w:eastAsia="zh-CN"/>
        </w:rPr>
        <w:t>图2.2-2  地质剖面图</w:t>
      </w:r>
    </w:p>
    <w:p>
      <w:pPr>
        <w:pStyle w:val="4"/>
        <w:pageBreakBefore w:val="0"/>
        <w:kinsoku/>
        <w:wordWrap/>
        <w:overflowPunct/>
        <w:topLinePunct w:val="0"/>
        <w:bidi w:val="0"/>
        <w:spacing w:line="360" w:lineRule="auto"/>
        <w:ind w:firstLine="0"/>
        <w:rPr>
          <w:rFonts w:hint="default" w:ascii="Times New Roman" w:hAnsi="Times New Roman" w:eastAsia="宋体" w:cs="Times New Roman"/>
          <w:color w:val="auto"/>
          <w:sz w:val="30"/>
          <w:szCs w:val="30"/>
          <w:lang w:val="en-US" w:eastAsia="zh-CN"/>
        </w:rPr>
      </w:pPr>
      <w:bookmarkStart w:id="43" w:name="_Toc11453"/>
      <w:r>
        <w:rPr>
          <w:rFonts w:hint="default" w:ascii="Times New Roman" w:hAnsi="Times New Roman" w:eastAsia="宋体" w:cs="Times New Roman"/>
          <w:color w:val="auto"/>
          <w:sz w:val="30"/>
          <w:szCs w:val="30"/>
          <w:lang w:val="en-US" w:eastAsia="zh-CN"/>
        </w:rPr>
        <w:t>3 场地污染识别</w:t>
      </w:r>
      <w:bookmarkEnd w:id="43"/>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以《场地环境调查技术导则》（HJ</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25.1-2014）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《在产企业土壤及地下水自行监测技术指南》（征求意见稿）和</w:t>
      </w:r>
      <w:r>
        <w:rPr>
          <w:rFonts w:hint="default" w:ascii="Times New Roman" w:hAnsi="Times New Roman" w:eastAsia="宋体" w:cs="Times New Roman"/>
          <w:color w:val="auto"/>
          <w:sz w:val="24"/>
          <w:szCs w:val="24"/>
        </w:rPr>
        <w:t>《北京市重点企业土壤环境自行监测技术指南（暂行）》等相关文件要求为依据，通过资料收集、文件分析、现场踏勘及对相关人员进行访谈等方式，了解</w:t>
      </w:r>
      <w:r>
        <w:rPr>
          <w:rFonts w:hint="default" w:ascii="Times New Roman" w:hAnsi="Times New Roman" w:eastAsia="宋体" w:cs="Times New Roman"/>
          <w:color w:val="auto"/>
          <w:sz w:val="24"/>
          <w:szCs w:val="24"/>
          <w:lang w:eastAsia="zh-CN"/>
        </w:rPr>
        <w:t>邢台兴安液压机械有限公司</w:t>
      </w:r>
      <w:r>
        <w:rPr>
          <w:rFonts w:hint="default" w:ascii="Times New Roman" w:hAnsi="Times New Roman" w:eastAsia="宋体" w:cs="Times New Roman"/>
          <w:color w:val="auto"/>
          <w:sz w:val="24"/>
          <w:szCs w:val="24"/>
        </w:rPr>
        <w:t>的生产情况、功能区布局以及场地周边的环境等，识别存在潜在污染的区域以及与周边环境的相互影响，并初步分析该场地可能存在的污染物，为场地采样的布点和确定分析检测项目提供依据</w:t>
      </w:r>
      <w:r>
        <w:rPr>
          <w:rFonts w:hint="default" w:ascii="Times New Roman" w:hAnsi="Times New Roman" w:eastAsia="宋体" w:cs="Times New Roman"/>
          <w:bCs/>
          <w:color w:val="auto"/>
          <w:sz w:val="24"/>
          <w:szCs w:val="24"/>
        </w:rPr>
        <w:t>。</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44" w:name="_Toc17054"/>
      <w:bookmarkStart w:id="45" w:name="_Toc28117"/>
      <w:bookmarkStart w:id="46" w:name="_Toc124"/>
      <w:bookmarkStart w:id="47" w:name="_Toc9581"/>
      <w:bookmarkStart w:id="48" w:name="_Toc6729"/>
      <w:bookmarkStart w:id="49" w:name="_Toc2812"/>
      <w:bookmarkStart w:id="50" w:name="_Toc2630"/>
      <w:bookmarkStart w:id="51" w:name="_Toc24335"/>
      <w:bookmarkStart w:id="52" w:name="_Toc26261"/>
      <w:bookmarkStart w:id="53" w:name="_Toc4100"/>
      <w:bookmarkStart w:id="54" w:name="_Toc23799"/>
      <w:bookmarkStart w:id="55" w:name="_Toc18270"/>
      <w:bookmarkStart w:id="56" w:name="_Toc7683"/>
      <w:bookmarkStart w:id="57" w:name="_Toc533409839"/>
      <w:bookmarkStart w:id="58" w:name="_Toc28800"/>
      <w:r>
        <w:rPr>
          <w:rFonts w:hint="default" w:ascii="Times New Roman" w:hAnsi="Times New Roman" w:eastAsia="宋体" w:cs="Times New Roman"/>
          <w:color w:val="auto"/>
          <w:sz w:val="28"/>
          <w:szCs w:val="28"/>
          <w:lang w:val="en-US" w:eastAsia="zh-CN"/>
        </w:rPr>
        <w:t>3.1</w:t>
      </w:r>
      <w:bookmarkEnd w:id="44"/>
      <w:bookmarkEnd w:id="45"/>
      <w:bookmarkEnd w:id="46"/>
      <w:bookmarkEnd w:id="47"/>
      <w:bookmarkEnd w:id="48"/>
      <w:bookmarkEnd w:id="49"/>
      <w:bookmarkEnd w:id="50"/>
      <w:bookmarkEnd w:id="51"/>
      <w:bookmarkEnd w:id="52"/>
      <w:bookmarkEnd w:id="53"/>
      <w:bookmarkEnd w:id="54"/>
      <w:bookmarkEnd w:id="55"/>
      <w:bookmarkEnd w:id="56"/>
      <w:r>
        <w:rPr>
          <w:rFonts w:hint="default" w:ascii="Times New Roman" w:hAnsi="Times New Roman" w:eastAsia="宋体" w:cs="Times New Roman"/>
          <w:color w:val="auto"/>
          <w:sz w:val="28"/>
          <w:szCs w:val="28"/>
          <w:lang w:val="en-US" w:eastAsia="zh-CN"/>
        </w:rPr>
        <w:t xml:space="preserve"> 现场调查</w:t>
      </w:r>
      <w:bookmarkEnd w:id="57"/>
      <w:bookmarkEnd w:id="58"/>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59" w:name="_Toc19741"/>
      <w:bookmarkStart w:id="60" w:name="_Toc7976"/>
      <w:bookmarkStart w:id="61" w:name="_Toc20491"/>
      <w:bookmarkStart w:id="62" w:name="_Toc31657"/>
      <w:bookmarkStart w:id="63" w:name="_Toc5461"/>
      <w:bookmarkStart w:id="64" w:name="_Toc533409840"/>
      <w:bookmarkStart w:id="65" w:name="_Toc23362"/>
      <w:r>
        <w:rPr>
          <w:rFonts w:hint="default" w:ascii="Times New Roman" w:hAnsi="Times New Roman" w:eastAsia="宋体" w:cs="Times New Roman"/>
          <w:color w:val="auto"/>
          <w:lang w:val="en-US" w:eastAsia="zh-CN"/>
        </w:rPr>
        <w:t>3.1.1</w:t>
      </w:r>
      <w:bookmarkEnd w:id="59"/>
      <w:bookmarkEnd w:id="60"/>
      <w:bookmarkEnd w:id="61"/>
      <w:bookmarkEnd w:id="62"/>
      <w:bookmarkEnd w:id="63"/>
      <w:r>
        <w:rPr>
          <w:rFonts w:hint="default" w:ascii="Times New Roman" w:hAnsi="Times New Roman" w:eastAsia="宋体" w:cs="Times New Roman"/>
          <w:color w:val="auto"/>
          <w:lang w:val="en-US" w:eastAsia="zh-CN"/>
        </w:rPr>
        <w:t xml:space="preserve"> 现场调查的工作方法与内容</w:t>
      </w:r>
      <w:bookmarkEnd w:id="64"/>
      <w:bookmarkEnd w:id="65"/>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本项目现场调查的工作方法包括：</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①从厂区负责人处搜集与本项目相关的资料，包括环评、验收、排污许可、危废流转等相关手续文件；</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②与厂区工作人员进行谈话交流，了解项目地块土地利用历史情况以及周边关系，了解生产期间是否存在废水泄露等环境污染事故；</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③进行现场踏勘，确定生产工艺、生产设施布置、管线形式及走向和废水处理及排放等情况。</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66" w:name="_Toc533409841"/>
      <w:bookmarkStart w:id="67" w:name="_Toc7056"/>
      <w:r>
        <w:rPr>
          <w:rFonts w:hint="default" w:ascii="Times New Roman" w:hAnsi="Times New Roman" w:eastAsia="宋体" w:cs="Times New Roman"/>
          <w:color w:val="auto"/>
          <w:lang w:val="en-US" w:eastAsia="zh-CN"/>
        </w:rPr>
        <w:t>3.1.2 现场调查的工作过程</w:t>
      </w:r>
      <w:bookmarkEnd w:id="66"/>
      <w:bookmarkEnd w:id="67"/>
    </w:p>
    <w:p>
      <w:pPr>
        <w:spacing w:line="360" w:lineRule="auto"/>
        <w:ind w:left="0" w:leftChars="0" w:firstLine="480" w:firstLineChars="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2019年11月12</w:t>
      </w:r>
      <w:r>
        <w:rPr>
          <w:rFonts w:hint="default" w:ascii="Times New Roman" w:hAnsi="Times New Roman" w:eastAsia="宋体" w:cs="Times New Roman"/>
          <w:color w:val="auto"/>
        </w:rPr>
        <w:t>日，我公司组织技术人员对现场进行了踏勘，通过现场踏勘和人员访谈，对厂区场地的利用情况有了初步了解</w:t>
      </w:r>
      <w:r>
        <w:rPr>
          <w:rFonts w:hint="default" w:ascii="Times New Roman" w:hAnsi="Times New Roman" w:eastAsia="宋体" w:cs="Times New Roman"/>
          <w:color w:val="auto"/>
          <w:lang w:eastAsia="zh-CN"/>
        </w:rPr>
        <w:t>。兴安液压机械有限公司场地内共有</w:t>
      </w:r>
      <w:r>
        <w:rPr>
          <w:rFonts w:hint="default" w:ascii="Times New Roman" w:hAnsi="Times New Roman" w:eastAsia="宋体" w:cs="Times New Roman"/>
          <w:color w:val="auto"/>
          <w:lang w:val="en-US" w:eastAsia="zh-CN"/>
        </w:rPr>
        <w:t>4处生产车间（镀铬车间、镀铁车间、组装车间和机加工车间）、1处室内污水处理站、1处生化处理站，1处员工生活区及办公楼等。厂区南部已出租区域原为一处空地，2018年新建简易厂房后出租，目前作为机械组装及仓储等用途。厂区内镀铁工序产生的盐酸雾以及镀铬工序产生的铬酸雾通过在电镀槽内加酸雾抑制剂，经集气罩将酸雾收集引至喷淋吸收塔净化处理后，通过15m高排气筒外排。厂区内含铬废水经过处理设施处理达标后进入综合污水处理站进行处理，而除油、活化镀铁漂洗废水排入综合污水处理站，职工生活污水经隔油池、化粪池处理后排入综合污水处理站，废水经污水处理站处理达标后排入任县污水处理厂。本厂区产生的磨削废物和含铁污泥送烧结厂，生活垃圾由任县环卫部门负责清运并送指定地点填埋处理；废乳化液、废油、废酸、含重金属污泥、综合污水处理站污泥和废镀液送河北金隅红树林环保技术有限责任公司和石家庄翔宇环保技术服务中心处置。厂区平面布置见图3.1-1。</w:t>
      </w:r>
      <w:r>
        <w:rPr>
          <w:rFonts w:hint="default" w:ascii="Times New Roman" w:hAnsi="Times New Roman" w:eastAsia="宋体" w:cs="Times New Roman"/>
          <w:color w:val="auto"/>
        </w:rPr>
        <w:t>现场踏勘</w:t>
      </w:r>
      <w:r>
        <w:rPr>
          <w:rFonts w:hint="default" w:ascii="Times New Roman" w:hAnsi="Times New Roman" w:eastAsia="宋体" w:cs="Times New Roman"/>
          <w:color w:val="auto"/>
          <w:lang w:eastAsia="zh-CN"/>
        </w:rPr>
        <w:t>情况</w:t>
      </w:r>
      <w:r>
        <w:rPr>
          <w:rFonts w:hint="default" w:ascii="Times New Roman" w:hAnsi="Times New Roman" w:eastAsia="宋体" w:cs="Times New Roman"/>
          <w:color w:val="auto"/>
        </w:rPr>
        <w:t>见图3.1-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rPr>
        <w:drawing>
          <wp:inline distT="0" distB="0" distL="114300" distR="114300">
            <wp:extent cx="5269230" cy="4518660"/>
            <wp:effectExtent l="0" t="0" r="7620" b="15240"/>
            <wp:docPr id="1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6"/>
                    <pic:cNvPicPr>
                      <a:picLocks noChangeAspect="1"/>
                    </pic:cNvPicPr>
                  </pic:nvPicPr>
                  <pic:blipFill>
                    <a:blip r:embed="rId16"/>
                    <a:stretch>
                      <a:fillRect/>
                    </a:stretch>
                  </pic:blipFill>
                  <pic:spPr>
                    <a:xfrm>
                      <a:off x="0" y="0"/>
                      <a:ext cx="5269230" cy="4518660"/>
                    </a:xfrm>
                    <a:prstGeom prst="rect">
                      <a:avLst/>
                    </a:prstGeom>
                    <a:noFill/>
                    <a:ln>
                      <a:noFill/>
                    </a:ln>
                  </pic:spPr>
                </pic:pic>
              </a:graphicData>
            </a:graphic>
          </wp:inline>
        </w:drawing>
      </w: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图3.1-1  厂区平面布置图</w:t>
      </w:r>
    </w:p>
    <w:tbl>
      <w:tblPr>
        <w:tblStyle w:val="17"/>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6"/>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1"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snapToGrid w:val="0"/>
                <w:kern w:val="0"/>
                <w:sz w:val="21"/>
                <w:szCs w:val="21"/>
                <w:lang w:eastAsia="zh-CN"/>
              </w:rPr>
              <w:drawing>
                <wp:inline distT="0" distB="0" distL="114300" distR="114300">
                  <wp:extent cx="2545080" cy="1908175"/>
                  <wp:effectExtent l="0" t="0" r="7620" b="15875"/>
                  <wp:docPr id="100" name="图片 15" descr="IMG_20191126_122624"/>
                  <wp:cNvGraphicFramePr/>
                  <a:graphic xmlns:a="http://schemas.openxmlformats.org/drawingml/2006/main">
                    <a:graphicData uri="http://schemas.openxmlformats.org/drawingml/2006/picture">
                      <pic:pic xmlns:pic="http://schemas.openxmlformats.org/drawingml/2006/picture">
                        <pic:nvPicPr>
                          <pic:cNvPr id="100" name="图片 15" descr="IMG_20191126_122624"/>
                          <pic:cNvPicPr/>
                        </pic:nvPicPr>
                        <pic:blipFill>
                          <a:blip r:embed="rId17"/>
                          <a:srcRect l="-125" b="37653"/>
                          <a:stretch>
                            <a:fillRect/>
                          </a:stretch>
                        </pic:blipFill>
                        <pic:spPr>
                          <a:xfrm>
                            <a:off x="0" y="0"/>
                            <a:ext cx="2545080" cy="1908175"/>
                          </a:xfrm>
                          <a:prstGeom prst="rect">
                            <a:avLst/>
                          </a:prstGeom>
                          <a:noFill/>
                          <a:ln>
                            <a:noFill/>
                          </a:ln>
                        </pic:spPr>
                      </pic:pic>
                    </a:graphicData>
                  </a:graphic>
                </wp:inline>
              </w:drawing>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0" name="图片 20" descr="IMG_20191112_1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91112_112709"/>
                          <pic:cNvPicPr>
                            <a:picLocks noChangeAspect="1"/>
                          </pic:cNvPicPr>
                        </pic:nvPicPr>
                        <pic:blipFill>
                          <a:blip r:embed="rId18"/>
                          <a:stretch>
                            <a:fillRect/>
                          </a:stretch>
                        </pic:blipFill>
                        <pic:spPr>
                          <a:xfrm>
                            <a:off x="0" y="0"/>
                            <a:ext cx="2544445" cy="1908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机加工车间</w:t>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抛丸、喷漆车间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1"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2" name="图片 22" descr="IMG_20191126_09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91126_092528"/>
                          <pic:cNvPicPr>
                            <a:picLocks noChangeAspect="1"/>
                          </pic:cNvPicPr>
                        </pic:nvPicPr>
                        <pic:blipFill>
                          <a:blip r:embed="rId19"/>
                          <a:stretch>
                            <a:fillRect/>
                          </a:stretch>
                        </pic:blipFill>
                        <pic:spPr>
                          <a:xfrm>
                            <a:off x="0" y="0"/>
                            <a:ext cx="2544445" cy="1908175"/>
                          </a:xfrm>
                          <a:prstGeom prst="rect">
                            <a:avLst/>
                          </a:prstGeom>
                        </pic:spPr>
                      </pic:pic>
                    </a:graphicData>
                  </a:graphic>
                </wp:inline>
              </w:drawing>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3" name="图片 23" descr="IMG_20191126_09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91126_093052"/>
                          <pic:cNvPicPr>
                            <a:picLocks noChangeAspect="1"/>
                          </pic:cNvPicPr>
                        </pic:nvPicPr>
                        <pic:blipFill>
                          <a:blip r:embed="rId20"/>
                          <a:stretch>
                            <a:fillRect/>
                          </a:stretch>
                        </pic:blipFill>
                        <pic:spPr>
                          <a:xfrm>
                            <a:off x="0" y="0"/>
                            <a:ext cx="2544445" cy="1908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镀铬车间</w:t>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镀铁车间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1"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4" name="图片 24" descr="IMG_20191112_09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191112_091404"/>
                          <pic:cNvPicPr>
                            <a:picLocks noChangeAspect="1"/>
                          </pic:cNvPicPr>
                        </pic:nvPicPr>
                        <pic:blipFill>
                          <a:blip r:embed="rId21"/>
                          <a:stretch>
                            <a:fillRect/>
                          </a:stretch>
                        </pic:blipFill>
                        <pic:spPr>
                          <a:xfrm>
                            <a:off x="0" y="0"/>
                            <a:ext cx="2544445" cy="1908175"/>
                          </a:xfrm>
                          <a:prstGeom prst="rect">
                            <a:avLst/>
                          </a:prstGeom>
                        </pic:spPr>
                      </pic:pic>
                    </a:graphicData>
                  </a:graphic>
                </wp:inline>
              </w:drawing>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44445" cy="1908175"/>
                  <wp:effectExtent l="0" t="0" r="8255" b="15875"/>
                  <wp:docPr id="25" name="图片 25" descr="IMG_20191112_09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191112_090903"/>
                          <pic:cNvPicPr>
                            <a:picLocks noChangeAspect="1"/>
                          </pic:cNvPicPr>
                        </pic:nvPicPr>
                        <pic:blipFill>
                          <a:blip r:embed="rId22"/>
                          <a:stretch>
                            <a:fillRect/>
                          </a:stretch>
                        </pic:blipFill>
                        <pic:spPr>
                          <a:xfrm>
                            <a:off x="0" y="0"/>
                            <a:ext cx="2544445" cy="1908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污水处理站</w:t>
            </w:r>
          </w:p>
        </w:tc>
        <w:tc>
          <w:tcPr>
            <w:tcW w:w="412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人员访谈</w:t>
            </w:r>
          </w:p>
        </w:tc>
      </w:tr>
    </w:tbl>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图3.1-2  现场踏勘影响资料</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68" w:name="_Toc533409843"/>
      <w:bookmarkStart w:id="69" w:name="_Toc12501"/>
      <w:r>
        <w:rPr>
          <w:rFonts w:hint="default" w:ascii="Times New Roman" w:hAnsi="Times New Roman" w:eastAsia="宋体" w:cs="Times New Roman"/>
          <w:color w:val="auto"/>
          <w:lang w:val="en-US" w:eastAsia="zh-CN"/>
        </w:rPr>
        <w:t>3.1.3 功能区布</w:t>
      </w:r>
      <w:bookmarkEnd w:id="68"/>
      <w:r>
        <w:rPr>
          <w:rFonts w:hint="default" w:ascii="Times New Roman" w:hAnsi="Times New Roman" w:eastAsia="宋体" w:cs="Times New Roman"/>
          <w:color w:val="auto"/>
          <w:lang w:val="en-US" w:eastAsia="zh-CN"/>
        </w:rPr>
        <w:t>设</w:t>
      </w:r>
      <w:bookmarkEnd w:id="69"/>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3.1.3.1 功能区划分原则</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原则上功能区的划分应以场地内土地使用功能为划分依据，主要包括生产区、办公区及生活区。其中生产区的地块划分应以构筑物或生产工艺为单元，大体包括生产区及产品储库、废水处理及废渣贮存场以及其他辅助设施。对于土地使用功能相近、单元面积较小的生产区也可将几个单元合并成一个监测地块。</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3.1.3.2 各功能区分布情况</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eastAsia="zh-CN"/>
        </w:rPr>
        <w:t>邢台兴安液压机械有限公司</w:t>
      </w:r>
      <w:r>
        <w:rPr>
          <w:rFonts w:hint="default" w:ascii="Times New Roman" w:hAnsi="Times New Roman" w:eastAsia="宋体" w:cs="Times New Roman"/>
          <w:color w:val="auto"/>
        </w:rPr>
        <w:t>厂区在结合功能区划分原则的基础上，根据项目生产布局实际情况，将整个厂区分为</w:t>
      </w:r>
      <w:r>
        <w:rPr>
          <w:rFonts w:hint="default" w:ascii="Times New Roman" w:hAnsi="Times New Roman" w:eastAsia="宋体" w:cs="Times New Roman"/>
          <w:color w:val="auto"/>
          <w:lang w:eastAsia="zh-CN"/>
        </w:rPr>
        <w:t>生产区、污水站区和办公、外租区。</w:t>
      </w:r>
      <w:r>
        <w:rPr>
          <w:rFonts w:hint="default" w:ascii="Times New Roman" w:hAnsi="Times New Roman" w:eastAsia="宋体" w:cs="Times New Roman"/>
          <w:color w:val="auto"/>
        </w:rPr>
        <w:t>具体分布情况见图3.1-3所示。</w:t>
      </w:r>
    </w:p>
    <w:p>
      <w:pPr>
        <w:pStyle w:val="15"/>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rPr>
      </w:pPr>
      <w:r>
        <w:rPr>
          <w:rFonts w:hint="default" w:ascii="Times New Roman" w:hAnsi="Times New Roman" w:cs="Times New Roman"/>
        </w:rPr>
        <w:drawing>
          <wp:inline distT="0" distB="0" distL="114300" distR="114300">
            <wp:extent cx="5267960" cy="4488815"/>
            <wp:effectExtent l="0" t="0" r="8890" b="6985"/>
            <wp:docPr id="1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7"/>
                    <pic:cNvPicPr>
                      <a:picLocks noChangeAspect="1"/>
                    </pic:cNvPicPr>
                  </pic:nvPicPr>
                  <pic:blipFill>
                    <a:blip r:embed="rId23"/>
                    <a:stretch>
                      <a:fillRect/>
                    </a:stretch>
                  </pic:blipFill>
                  <pic:spPr>
                    <a:xfrm>
                      <a:off x="0" y="0"/>
                      <a:ext cx="5267960" cy="4488815"/>
                    </a:xfrm>
                    <a:prstGeom prst="rect">
                      <a:avLst/>
                    </a:prstGeom>
                    <a:noFill/>
                    <a:ln>
                      <a:noFill/>
                    </a:ln>
                  </pic:spPr>
                </pic:pic>
              </a:graphicData>
            </a:graphic>
          </wp:inline>
        </w:drawing>
      </w:r>
    </w:p>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color w:val="auto"/>
          <w:sz w:val="24"/>
          <w:szCs w:val="24"/>
        </w:rPr>
        <w:t>图3.1-3  调查地块功能区划分</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70" w:name="_Toc9893"/>
      <w:r>
        <w:rPr>
          <w:rFonts w:hint="default" w:ascii="Times New Roman" w:hAnsi="Times New Roman" w:eastAsia="宋体" w:cs="Times New Roman"/>
          <w:color w:val="auto"/>
          <w:sz w:val="28"/>
          <w:szCs w:val="28"/>
          <w:lang w:val="en-US" w:eastAsia="zh-CN"/>
        </w:rPr>
        <w:t>3.2 生产工艺及污染物排放情况</w:t>
      </w:r>
      <w:bookmarkEnd w:id="70"/>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71" w:name="_Toc15306"/>
      <w:r>
        <w:rPr>
          <w:rFonts w:hint="default" w:ascii="Times New Roman" w:hAnsi="Times New Roman" w:eastAsia="宋体" w:cs="Times New Roman"/>
          <w:color w:val="auto"/>
          <w:lang w:val="en-US" w:eastAsia="zh-CN"/>
        </w:rPr>
        <w:t>3.2.1 原辅材料</w:t>
      </w:r>
      <w:bookmarkEnd w:id="71"/>
    </w:p>
    <w:p>
      <w:pPr>
        <w:keepNext w:val="0"/>
        <w:keepLines w:val="0"/>
        <w:pageBreakBefore w:val="0"/>
        <w:widowControl/>
        <w:suppressLineNumbers w:val="0"/>
        <w:kinsoku/>
        <w:wordWrap/>
        <w:overflowPunct/>
        <w:topLinePunct w:val="0"/>
        <w:autoSpaceDE/>
        <w:autoSpaceDN/>
        <w:bidi w:val="0"/>
        <w:spacing w:line="360" w:lineRule="auto"/>
        <w:jc w:val="left"/>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color w:val="auto"/>
          <w:sz w:val="24"/>
          <w:szCs w:val="24"/>
          <w:lang w:eastAsia="zh-CN"/>
        </w:rPr>
        <w:t>邢台兴安液压机械有限公司是专业从事矿用综采工作面液压支架立柱、千斤顶修复及配件加工的企业。</w:t>
      </w:r>
      <w:r>
        <w:rPr>
          <w:rFonts w:hint="default" w:ascii="Times New Roman" w:hAnsi="Times New Roman" w:eastAsia="宋体" w:cs="Times New Roman"/>
          <w:color w:val="auto"/>
          <w:kern w:val="0"/>
          <w:sz w:val="24"/>
          <w:szCs w:val="24"/>
          <w:lang w:val="en-US" w:eastAsia="zh-CN" w:bidi="ar"/>
        </w:rPr>
        <w:t>主要生产原辅材料为铁板、氯化亚铁、氯化钠、铬酐、氢氧化钠和盐酸等。主要原辅材料理化性质见表3.2-1。</w:t>
      </w: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表3.2-1  主要原辅材料理化性质一览表</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59"/>
        <w:gridCol w:w="73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53" w:hRule="atLeast"/>
          <w:tblHeader/>
          <w:jc w:val="center"/>
        </w:trPr>
        <w:tc>
          <w:tcPr>
            <w:tcW w:w="85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原材料</w:t>
            </w:r>
          </w:p>
        </w:tc>
        <w:tc>
          <w:tcPr>
            <w:tcW w:w="73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理化性质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14" w:hRule="atLeast"/>
          <w:jc w:val="center"/>
        </w:trPr>
        <w:tc>
          <w:tcPr>
            <w:tcW w:w="85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铬酸酐</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(铬酐)</w:t>
            </w:r>
          </w:p>
        </w:tc>
        <w:tc>
          <w:tcPr>
            <w:tcW w:w="73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分子式：CrO</w:t>
            </w:r>
            <w:r>
              <w:rPr>
                <w:rFonts w:hint="default" w:ascii="Times New Roman" w:hAnsi="Times New Roman" w:eastAsia="宋体" w:cs="Times New Roman"/>
                <w:color w:val="auto"/>
                <w:spacing w:val="-10"/>
                <w:sz w:val="21"/>
                <w:szCs w:val="21"/>
                <w:vertAlign w:val="subscript"/>
              </w:rPr>
              <w:t>3</w:t>
            </w:r>
            <w:r>
              <w:rPr>
                <w:rFonts w:hint="default" w:ascii="Times New Roman" w:hAnsi="Times New Roman" w:eastAsia="宋体" w:cs="Times New Roman"/>
                <w:color w:val="auto"/>
                <w:spacing w:val="-10"/>
                <w:sz w:val="21"/>
                <w:szCs w:val="21"/>
              </w:rPr>
              <w:t>；结构式：</w:t>
            </w:r>
            <w:r>
              <w:rPr>
                <w:rFonts w:hint="default" w:ascii="Times New Roman" w:hAnsi="Times New Roman" w:eastAsia="宋体" w:cs="Times New Roman"/>
                <w:color w:val="auto"/>
                <w:sz w:val="21"/>
                <w:szCs w:val="21"/>
              </w:rPr>
              <w:drawing>
                <wp:inline distT="0" distB="0" distL="114300" distR="114300">
                  <wp:extent cx="309880" cy="286385"/>
                  <wp:effectExtent l="0" t="0" r="13970" b="18415"/>
                  <wp:docPr id="33" name="图片 21" descr="30536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305360_1"/>
                          <pic:cNvPicPr>
                            <a:picLocks noChangeAspect="1"/>
                          </pic:cNvPicPr>
                        </pic:nvPicPr>
                        <pic:blipFill>
                          <a:blip r:embed="rId24"/>
                          <a:stretch>
                            <a:fillRect/>
                          </a:stretch>
                        </pic:blipFill>
                        <pic:spPr>
                          <a:xfrm>
                            <a:off x="0" y="0"/>
                            <a:ext cx="309880" cy="286385"/>
                          </a:xfrm>
                          <a:prstGeom prst="rect">
                            <a:avLst/>
                          </a:prstGeom>
                          <a:noFill/>
                          <a:ln>
                            <a:noFill/>
                          </a:ln>
                        </pic:spPr>
                      </pic:pic>
                    </a:graphicData>
                  </a:graphic>
                </wp:inline>
              </w:drawing>
            </w:r>
            <w:r>
              <w:rPr>
                <w:rFonts w:hint="default" w:ascii="Times New Roman" w:hAnsi="Times New Roman" w:eastAsia="宋体" w:cs="Times New Roman"/>
                <w:color w:val="auto"/>
                <w:spacing w:val="-10"/>
                <w:sz w:val="21"/>
                <w:szCs w:val="21"/>
              </w:rPr>
              <w:t>分子量：100.01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外观与性状：暗红色或暗紫色斜方结晶，易潮解；熔点196℃；溶于水、</w:t>
            </w:r>
            <w:r>
              <w:rPr>
                <w:rFonts w:hint="default" w:ascii="Times New Roman" w:hAnsi="Times New Roman" w:eastAsia="宋体" w:cs="Times New Roman"/>
                <w:color w:val="auto"/>
                <w:spacing w:val="-10"/>
                <w:sz w:val="21"/>
                <w:szCs w:val="21"/>
              </w:rPr>
              <w:fldChar w:fldCharType="begin"/>
            </w:r>
            <w:r>
              <w:rPr>
                <w:rFonts w:hint="default" w:ascii="Times New Roman" w:hAnsi="Times New Roman" w:eastAsia="宋体" w:cs="Times New Roman"/>
                <w:color w:val="auto"/>
                <w:spacing w:val="-10"/>
                <w:sz w:val="21"/>
                <w:szCs w:val="21"/>
              </w:rPr>
              <w:instrText xml:space="preserve"> HYPERLINK "http://baike.baidu.com/view/1730.htm" \t "_blank" </w:instrText>
            </w:r>
            <w:r>
              <w:rPr>
                <w:rFonts w:hint="default" w:ascii="Times New Roman" w:hAnsi="Times New Roman" w:eastAsia="宋体" w:cs="Times New Roman"/>
                <w:color w:val="auto"/>
                <w:spacing w:val="-10"/>
                <w:sz w:val="21"/>
                <w:szCs w:val="21"/>
              </w:rPr>
              <w:fldChar w:fldCharType="separate"/>
            </w:r>
            <w:r>
              <w:rPr>
                <w:rStyle w:val="20"/>
                <w:rFonts w:hint="default" w:ascii="Times New Roman" w:hAnsi="Times New Roman" w:eastAsia="宋体" w:cs="Times New Roman"/>
                <w:color w:val="auto"/>
                <w:spacing w:val="-10"/>
                <w:sz w:val="21"/>
                <w:szCs w:val="21"/>
                <w:u w:val="none"/>
              </w:rPr>
              <w:t>硫酸</w:t>
            </w:r>
            <w:r>
              <w:rPr>
                <w:rFonts w:hint="default" w:ascii="Times New Roman" w:hAnsi="Times New Roman" w:eastAsia="宋体" w:cs="Times New Roman"/>
                <w:color w:val="auto"/>
                <w:spacing w:val="-10"/>
                <w:sz w:val="21"/>
                <w:szCs w:val="21"/>
              </w:rPr>
              <w:fldChar w:fldCharType="end"/>
            </w:r>
            <w:r>
              <w:rPr>
                <w:rFonts w:hint="default" w:ascii="Times New Roman" w:hAnsi="Times New Roman" w:eastAsia="宋体" w:cs="Times New Roman"/>
                <w:color w:val="auto"/>
                <w:spacing w:val="-10"/>
                <w:sz w:val="21"/>
                <w:szCs w:val="21"/>
              </w:rPr>
              <w:t>、</w:t>
            </w:r>
            <w:r>
              <w:rPr>
                <w:rFonts w:hint="default" w:ascii="Times New Roman" w:hAnsi="Times New Roman" w:eastAsia="宋体" w:cs="Times New Roman"/>
                <w:color w:val="auto"/>
                <w:spacing w:val="-10"/>
                <w:sz w:val="21"/>
                <w:szCs w:val="21"/>
              </w:rPr>
              <w:fldChar w:fldCharType="begin"/>
            </w:r>
            <w:r>
              <w:rPr>
                <w:rFonts w:hint="default" w:ascii="Times New Roman" w:hAnsi="Times New Roman" w:eastAsia="宋体" w:cs="Times New Roman"/>
                <w:color w:val="auto"/>
                <w:spacing w:val="-10"/>
                <w:sz w:val="21"/>
                <w:szCs w:val="21"/>
              </w:rPr>
              <w:instrText xml:space="preserve"> HYPERLINK "http://baike.baidu.com/view/48841.htm" \t "_blank" </w:instrText>
            </w:r>
            <w:r>
              <w:rPr>
                <w:rFonts w:hint="default" w:ascii="Times New Roman" w:hAnsi="Times New Roman" w:eastAsia="宋体" w:cs="Times New Roman"/>
                <w:color w:val="auto"/>
                <w:spacing w:val="-10"/>
                <w:sz w:val="21"/>
                <w:szCs w:val="21"/>
              </w:rPr>
              <w:fldChar w:fldCharType="separate"/>
            </w:r>
            <w:r>
              <w:rPr>
                <w:rStyle w:val="20"/>
                <w:rFonts w:hint="default" w:ascii="Times New Roman" w:hAnsi="Times New Roman" w:eastAsia="宋体" w:cs="Times New Roman"/>
                <w:color w:val="auto"/>
                <w:spacing w:val="-10"/>
                <w:sz w:val="21"/>
                <w:szCs w:val="21"/>
                <w:u w:val="none"/>
              </w:rPr>
              <w:t>硝酸</w:t>
            </w:r>
            <w:r>
              <w:rPr>
                <w:rFonts w:hint="default" w:ascii="Times New Roman" w:hAnsi="Times New Roman" w:eastAsia="宋体" w:cs="Times New Roman"/>
                <w:color w:val="auto"/>
                <w:spacing w:val="-10"/>
                <w:sz w:val="21"/>
                <w:szCs w:val="21"/>
              </w:rPr>
              <w:fldChar w:fldCharType="end"/>
            </w:r>
            <w:r>
              <w:rPr>
                <w:rFonts w:hint="default" w:ascii="Times New Roman" w:hAnsi="Times New Roman" w:eastAsia="宋体" w:cs="Times New Roman"/>
                <w:color w:val="auto"/>
                <w:spacing w:val="-10"/>
                <w:sz w:val="21"/>
                <w:szCs w:val="21"/>
              </w:rPr>
              <w:t>；相对密度2.70；稳定。</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危险标记11(氧化剂)，20(腐蚀品)；</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主要用途：用于电镀、医药、印刷等工业、鞣革和织物媒染。</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健康危害(侵入途径)：吸入、食入、经皮吸收，属高毒类，LD</w:t>
            </w:r>
            <w:r>
              <w:rPr>
                <w:rFonts w:hint="default" w:ascii="Times New Roman" w:hAnsi="Times New Roman" w:eastAsia="宋体" w:cs="Times New Roman"/>
                <w:color w:val="auto"/>
                <w:spacing w:val="-10"/>
                <w:sz w:val="21"/>
                <w:szCs w:val="21"/>
                <w:vertAlign w:val="subscript"/>
              </w:rPr>
              <w:t>50</w:t>
            </w:r>
            <w:r>
              <w:rPr>
                <w:rFonts w:hint="default" w:ascii="Times New Roman" w:hAnsi="Times New Roman" w:eastAsia="宋体" w:cs="Times New Roman"/>
                <w:color w:val="auto"/>
                <w:spacing w:val="-10"/>
                <w:sz w:val="21"/>
                <w:szCs w:val="21"/>
                <w:vertAlign w:val="subscript"/>
                <w:lang w:val="en-US" w:eastAsia="zh-CN"/>
              </w:rPr>
              <w:t xml:space="preserve"> </w:t>
            </w:r>
            <w:r>
              <w:rPr>
                <w:rFonts w:hint="default" w:ascii="Times New Roman" w:hAnsi="Times New Roman" w:eastAsia="宋体" w:cs="Times New Roman"/>
                <w:color w:val="auto"/>
                <w:spacing w:val="-10"/>
                <w:sz w:val="21"/>
                <w:szCs w:val="21"/>
              </w:rPr>
              <w:t>80mg/kg(大鼠经口)。</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急性中毒：吸入后可引起急性呼吸道刺激症状、鼻出血、声音嘶哑、鼻粘膜萎缩，有时出现哮喘和紫绀。重者可发生化学性肺炎。口服可刺激和腐蚀消化道，引起恶心、呕吐、腹痛、血便等；重者出现呼吸困难、紫绀、休克、肝损害及急性肾功能衰竭等。</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致突变性：微粒体诱变实验：鼠伤寒沙门氏菌10μg／皿。</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微生物致突变：鼠伤寒沙门氏菌50</w:t>
            </w:r>
            <w:r>
              <w:rPr>
                <w:rFonts w:hint="default" w:ascii="Times New Roman" w:hAnsi="Times New Roman" w:eastAsia="宋体" w:cs="Times New Roman"/>
                <w:color w:val="auto"/>
                <w:spacing w:val="-10"/>
                <w:sz w:val="21"/>
                <w:szCs w:val="21"/>
                <w:lang w:val="en-US" w:eastAsia="zh-CN"/>
              </w:rPr>
              <w:t xml:space="preserve"> </w:t>
            </w:r>
            <w:r>
              <w:rPr>
                <w:rFonts w:hint="default" w:ascii="Times New Roman" w:hAnsi="Times New Roman" w:eastAsia="宋体" w:cs="Times New Roman"/>
                <w:color w:val="auto"/>
                <w:spacing w:val="-10"/>
                <w:sz w:val="21"/>
                <w:szCs w:val="21"/>
              </w:rPr>
              <w:t>μmol／L；大肠杆菌8</w:t>
            </w:r>
            <w:r>
              <w:rPr>
                <w:rFonts w:hint="default" w:ascii="Times New Roman" w:hAnsi="Times New Roman" w:eastAsia="宋体" w:cs="Times New Roman"/>
                <w:color w:val="auto"/>
                <w:spacing w:val="-10"/>
                <w:sz w:val="21"/>
                <w:szCs w:val="21"/>
                <w:lang w:val="en-US" w:eastAsia="zh-CN"/>
              </w:rPr>
              <w:t xml:space="preserve"> </w:t>
            </w:r>
            <w:r>
              <w:rPr>
                <w:rFonts w:hint="default" w:ascii="Times New Roman" w:hAnsi="Times New Roman" w:eastAsia="宋体" w:cs="Times New Roman"/>
                <w:color w:val="auto"/>
                <w:spacing w:val="-10"/>
                <w:sz w:val="21"/>
                <w:szCs w:val="21"/>
              </w:rPr>
              <w:t>μmol／L。</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生殖毒性：小鼠皮下注射最低中毒剂量(TDL0)：20mg.kg(孕8天)，对胚胎外结构有影响(胚胎、脐带)；胚胎发育迟缓。致癌性：IARC致癌性评论：人和动物均有充分证据，人类致癌物。</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特性：强氧化剂。与易燃物(如苯)和可燃物(如糖、纤维素等)接触会发生剧烈反应，甚至引起燃烧。与还原性物质如镁粉、铝粉、硫、磷等混合后，经摩擦或撞击，能引起燃烧或爆炸。具有较强的腐蚀性。燃烧(分解)产物：可能产生有害的毒性烟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4" w:hRule="atLeast"/>
          <w:jc w:val="center"/>
        </w:trPr>
        <w:tc>
          <w:tcPr>
            <w:tcW w:w="85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pacing w:val="-10"/>
                <w:sz w:val="21"/>
                <w:szCs w:val="21"/>
                <w:lang w:eastAsia="zh-CN"/>
              </w:rPr>
            </w:pPr>
            <w:r>
              <w:rPr>
                <w:rFonts w:hint="default" w:ascii="Times New Roman" w:hAnsi="Times New Roman" w:eastAsia="宋体" w:cs="Times New Roman"/>
                <w:color w:val="auto"/>
                <w:spacing w:val="-10"/>
                <w:sz w:val="21"/>
                <w:szCs w:val="21"/>
                <w:lang w:eastAsia="zh-CN"/>
              </w:rPr>
              <w:t>氯化亚铁</w:t>
            </w:r>
          </w:p>
        </w:tc>
        <w:tc>
          <w:tcPr>
            <w:tcW w:w="73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eastAsia="zh-CN"/>
              </w:rPr>
              <w:t>白色或灰绿色结晶，易吸湿。在空气中易被氧化而渐变成黄色。在氯化氢气流中约</w:t>
            </w:r>
            <w:r>
              <w:rPr>
                <w:rFonts w:hint="default" w:ascii="Times New Roman" w:hAnsi="Times New Roman" w:eastAsia="宋体" w:cs="Times New Roman"/>
                <w:color w:val="auto"/>
                <w:spacing w:val="-10"/>
                <w:sz w:val="21"/>
                <w:szCs w:val="21"/>
                <w:lang w:val="en-US" w:eastAsia="zh-CN"/>
              </w:rPr>
              <w:t>700</w:t>
            </w:r>
            <w:r>
              <w:rPr>
                <w:rFonts w:hint="default" w:ascii="Times New Roman" w:hAnsi="Times New Roman" w:eastAsia="宋体" w:cs="Times New Roman"/>
                <w:color w:val="auto"/>
                <w:spacing w:val="-10"/>
                <w:sz w:val="21"/>
                <w:szCs w:val="21"/>
              </w:rPr>
              <w:t>℃</w:t>
            </w:r>
            <w:r>
              <w:rPr>
                <w:rFonts w:hint="default" w:ascii="Times New Roman" w:hAnsi="Times New Roman" w:eastAsia="宋体" w:cs="Times New Roman"/>
                <w:color w:val="auto"/>
                <w:spacing w:val="-10"/>
                <w:sz w:val="21"/>
                <w:szCs w:val="21"/>
                <w:lang w:eastAsia="zh-CN"/>
              </w:rPr>
              <w:t>升华。易溶于水。微溶于丙酮及苯，不溶于乙醚。</w:t>
            </w:r>
            <w:r>
              <w:rPr>
                <w:rFonts w:hint="default" w:ascii="Times New Roman" w:hAnsi="Times New Roman" w:eastAsia="宋体" w:cs="Times New Roman"/>
                <w:color w:val="auto"/>
                <w:spacing w:val="-10"/>
                <w:sz w:val="21"/>
                <w:szCs w:val="21"/>
                <w:lang w:val="en-US" w:eastAsia="zh-CN"/>
              </w:rPr>
              <w:t>FeCl</w:t>
            </w:r>
            <w:r>
              <w:rPr>
                <w:rFonts w:hint="default" w:ascii="Times New Roman" w:hAnsi="Times New Roman" w:eastAsia="宋体" w:cs="Times New Roman"/>
                <w:color w:val="auto"/>
                <w:spacing w:val="-10"/>
                <w:sz w:val="21"/>
                <w:szCs w:val="21"/>
                <w:vertAlign w:val="subscript"/>
                <w:lang w:val="en-US" w:eastAsia="zh-CN"/>
              </w:rPr>
              <w:t>2</w:t>
            </w:r>
            <w:r>
              <w:rPr>
                <w:rFonts w:hint="default" w:ascii="Times New Roman" w:hAnsi="Times New Roman" w:eastAsia="宋体" w:cs="Times New Roman"/>
                <w:color w:val="auto"/>
                <w:spacing w:val="-10"/>
                <w:sz w:val="21"/>
                <w:szCs w:val="21"/>
                <w:lang w:val="en-US" w:eastAsia="zh-CN"/>
              </w:rPr>
              <w:t>.4H</w:t>
            </w:r>
            <w:r>
              <w:rPr>
                <w:rFonts w:hint="default" w:ascii="Times New Roman" w:hAnsi="Times New Roman" w:eastAsia="宋体" w:cs="Times New Roman"/>
                <w:color w:val="auto"/>
                <w:spacing w:val="-10"/>
                <w:sz w:val="21"/>
                <w:szCs w:val="21"/>
                <w:vertAlign w:val="subscript"/>
                <w:lang w:val="en-US" w:eastAsia="zh-CN"/>
              </w:rPr>
              <w:t>2</w:t>
            </w:r>
            <w:r>
              <w:rPr>
                <w:rFonts w:hint="default" w:ascii="Times New Roman" w:hAnsi="Times New Roman" w:eastAsia="宋体" w:cs="Times New Roman"/>
                <w:color w:val="auto"/>
                <w:spacing w:val="-10"/>
                <w:sz w:val="21"/>
                <w:szCs w:val="21"/>
                <w:lang w:val="en-US" w:eastAsia="zh-CN"/>
              </w:rPr>
              <w:t>O为蓝绿色单斜晶体。密度93g/cm</w:t>
            </w:r>
            <w:r>
              <w:rPr>
                <w:rFonts w:hint="default" w:ascii="Times New Roman" w:hAnsi="Times New Roman" w:eastAsia="宋体" w:cs="Times New Roman"/>
                <w:color w:val="auto"/>
                <w:spacing w:val="-10"/>
                <w:sz w:val="21"/>
                <w:szCs w:val="21"/>
                <w:vertAlign w:val="superscript"/>
                <w:lang w:val="en-US" w:eastAsia="zh-CN"/>
              </w:rPr>
              <w:t>3</w:t>
            </w:r>
            <w:r>
              <w:rPr>
                <w:rFonts w:hint="default" w:ascii="Times New Roman" w:hAnsi="Times New Roman" w:eastAsia="宋体" w:cs="Times New Roman"/>
                <w:color w:val="auto"/>
                <w:spacing w:val="-10"/>
                <w:sz w:val="21"/>
                <w:szCs w:val="21"/>
                <w:lang w:val="en-US" w:eastAsia="zh-CN"/>
              </w:rPr>
              <w:t>。无水氯化亚铁为黄绿色，吸湿性晶体溶于水后形成浅绿色溶液。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08" w:hRule="atLeast"/>
          <w:jc w:val="center"/>
        </w:trPr>
        <w:tc>
          <w:tcPr>
            <w:tcW w:w="859"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液碱</w:t>
            </w:r>
          </w:p>
        </w:tc>
        <w:tc>
          <w:tcPr>
            <w:tcW w:w="736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予式为NaOH，分子量40，无色或淡监色液体，有滑腻感，呈强碱性，对皮肤、织物等有强腐蚀性，粉尘或烟雾刺激眼和呼吸道，腐蚀鼻中隔、皮肤和眼，直接接触可引起灼烧，误服可造成消化道灼伤、粘膜糜烂、出血和休克。广泛用于造纸，有机合成、化工、纺织、人造丝、医药、冶金、精练石油、制皂、提炼煤焦油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96" w:hRule="atLeast"/>
          <w:jc w:val="center"/>
        </w:trPr>
        <w:tc>
          <w:tcPr>
            <w:tcW w:w="85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盐酸</w:t>
            </w:r>
          </w:p>
        </w:tc>
        <w:tc>
          <w:tcPr>
            <w:tcW w:w="73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二级无机酸，在空气中发烟，有刺激性气味，纯盐酸比重1.40，熔点-111</w:t>
            </w:r>
            <w:r>
              <w:rPr>
                <w:rFonts w:hint="default" w:ascii="Times New Roman" w:hAnsi="Times New Roman" w:eastAsia="宋体" w:cs="Times New Roman"/>
                <w:color w:val="auto"/>
                <w:spacing w:val="-10"/>
                <w:sz w:val="21"/>
                <w:szCs w:val="21"/>
                <w:lang w:val="en-US" w:eastAsia="zh-CN"/>
              </w:rPr>
              <w:t xml:space="preserve"> </w:t>
            </w:r>
            <w:r>
              <w:rPr>
                <w:rFonts w:hint="default" w:ascii="Times New Roman" w:hAnsi="Times New Roman" w:eastAsia="宋体" w:cs="Times New Roman"/>
                <w:color w:val="auto"/>
                <w:spacing w:val="-10"/>
                <w:sz w:val="21"/>
                <w:szCs w:val="21"/>
              </w:rPr>
              <w:t>℃，沸点．83℃，有毒，和许多金属反应放出氢气，溶于水，乙醇和乙醚，常温下易挥发。用途：钢材酸洗、阳离子交换树脂再生、纺织业中用于漂白和印染助剂、配制电解液、在食品工业中生产酱油、味精等调味品的原料。危险性特性：无水氯化氢无腐蚀性，但遇水有强的腐蚀性，能与一些活泼金属粉末发生反应，放出氢气。</w:t>
            </w:r>
          </w:p>
        </w:tc>
      </w:tr>
    </w:tbl>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72" w:name="_Toc4691"/>
      <w:r>
        <w:rPr>
          <w:rFonts w:hint="default" w:ascii="Times New Roman" w:hAnsi="Times New Roman" w:eastAsia="宋体" w:cs="Times New Roman"/>
          <w:color w:val="auto"/>
          <w:lang w:val="en-US" w:eastAsia="zh-CN"/>
        </w:rPr>
        <w:t>3.2.2 生产工艺</w:t>
      </w:r>
      <w:bookmarkEnd w:id="72"/>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邢台兴安液压机械有限公司主要生产工序包括来料粗加工、镀铁、精加工、镀铬及抛光等工序。</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3.2.2.1 粗加工</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来料由汽车运输进场，送机加工车间利用磨床、车床等设备对液压支架进行粗加工，即首先拆解后进行机床加工处理。拆解过程：利用天车把支架顶盖吊开，然后将立柱、千斤顶以及各种小件吊出。用压力机把护帮板和侧护板进行整形处理，用拆柱机把立柱、千斤顶拆开。用压力机把弯的活塞杆进行校直处理，最后利用外圆磨床把活柱和活塞杆表面上的划痕和麻坑磨去。粗加工的加工量较大，目的是彻底去除工作表面的氧化层和破损层。部分损害严重的液压支架需要利用钻床及铣床进行钻孔及键槽等关键部位的修复。</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工序污染源主要为各类的机床噪声（N1）、机加工下脚料（S1）、废润滑油（S2）及废乳化液（S3）。其中各种加工机床采用基础减震和厂房噪声的降噪措施，下脚料外售钢厂做烧结原料，废润滑油及废乳化液送有资质的危废处置单位处理。</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3.2.2.2 镀铁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镀铁</w:t>
      </w:r>
      <w:r>
        <w:rPr>
          <w:rFonts w:hint="default" w:ascii="Times New Roman" w:hAnsi="Times New Roman" w:eastAsia="宋体" w:cs="Times New Roman"/>
          <w:bCs/>
          <w:color w:val="auto"/>
          <w:sz w:val="24"/>
          <w:szCs w:val="24"/>
        </w:rPr>
        <w:t>生产过程主要包括</w:t>
      </w:r>
      <w:r>
        <w:rPr>
          <w:rFonts w:hint="default" w:ascii="Times New Roman" w:hAnsi="Times New Roman" w:eastAsia="宋体" w:cs="Times New Roman"/>
          <w:bCs/>
          <w:color w:val="auto"/>
          <w:sz w:val="24"/>
          <w:szCs w:val="24"/>
          <w:lang w:eastAsia="zh-CN"/>
        </w:rPr>
        <w:t>电解</w:t>
      </w:r>
      <w:r>
        <w:rPr>
          <w:rFonts w:hint="default" w:ascii="Times New Roman" w:hAnsi="Times New Roman" w:eastAsia="宋体" w:cs="Times New Roman"/>
          <w:bCs/>
          <w:color w:val="auto"/>
          <w:sz w:val="24"/>
          <w:szCs w:val="24"/>
        </w:rPr>
        <w:t>除油、活化、镀</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、回收</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水洗等主要工序。</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eastAsia="zh-CN"/>
        </w:rPr>
        <w:t>）电解</w:t>
      </w:r>
      <w:r>
        <w:rPr>
          <w:rFonts w:hint="default" w:ascii="Times New Roman" w:hAnsi="Times New Roman" w:eastAsia="宋体" w:cs="Times New Roman"/>
          <w:bCs/>
          <w:color w:val="auto"/>
          <w:sz w:val="24"/>
          <w:szCs w:val="24"/>
        </w:rPr>
        <w:t>除油</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首先对镀件</w:t>
      </w:r>
      <w:r>
        <w:rPr>
          <w:rFonts w:hint="default" w:ascii="Times New Roman" w:hAnsi="Times New Roman" w:eastAsia="宋体" w:cs="Times New Roman"/>
          <w:bCs/>
          <w:color w:val="auto"/>
          <w:sz w:val="24"/>
          <w:szCs w:val="24"/>
          <w:lang w:eastAsia="zh-CN"/>
        </w:rPr>
        <w:t>进行电解除油</w:t>
      </w:r>
      <w:r>
        <w:rPr>
          <w:rFonts w:hint="default" w:ascii="Times New Roman" w:hAnsi="Times New Roman" w:eastAsia="宋体" w:cs="Times New Roman"/>
          <w:bCs/>
          <w:color w:val="auto"/>
          <w:sz w:val="24"/>
          <w:szCs w:val="24"/>
        </w:rPr>
        <w:t>处理，即将</w:t>
      </w:r>
      <w:r>
        <w:rPr>
          <w:rFonts w:hint="default" w:ascii="Times New Roman" w:hAnsi="Times New Roman" w:eastAsia="宋体" w:cs="Times New Roman"/>
          <w:bCs/>
          <w:color w:val="auto"/>
          <w:sz w:val="24"/>
          <w:szCs w:val="24"/>
          <w:lang w:eastAsia="zh-CN"/>
        </w:rPr>
        <w:t>镀件挂入于</w:t>
      </w:r>
      <w:r>
        <w:rPr>
          <w:rFonts w:hint="default" w:ascii="Times New Roman" w:hAnsi="Times New Roman" w:eastAsia="宋体" w:cs="Times New Roman"/>
          <w:bCs/>
          <w:color w:val="auto"/>
          <w:sz w:val="24"/>
          <w:szCs w:val="24"/>
        </w:rPr>
        <w:t>放置于盛有浓度1～3%氢氧化钠溶液的碱洗槽中</w:t>
      </w:r>
      <w:r>
        <w:rPr>
          <w:rFonts w:hint="default" w:ascii="Times New Roman" w:hAnsi="Times New Roman" w:eastAsia="宋体" w:cs="Times New Roman"/>
          <w:bCs/>
          <w:color w:val="auto"/>
          <w:sz w:val="24"/>
          <w:szCs w:val="24"/>
          <w:lang w:eastAsia="zh-CN"/>
        </w:rPr>
        <w:t>通电</w:t>
      </w:r>
      <w:r>
        <w:rPr>
          <w:rFonts w:hint="default" w:ascii="Times New Roman" w:hAnsi="Times New Roman" w:eastAsia="宋体" w:cs="Times New Roman"/>
          <w:bCs/>
          <w:color w:val="auto"/>
          <w:sz w:val="24"/>
          <w:szCs w:val="24"/>
        </w:rPr>
        <w:t>，去除其表面油污。槽内碱洗液</w:t>
      </w:r>
      <w:r>
        <w:rPr>
          <w:rFonts w:hint="default" w:ascii="Times New Roman" w:hAnsi="Times New Roman" w:eastAsia="宋体" w:cs="Times New Roman"/>
          <w:bCs/>
          <w:color w:val="auto"/>
          <w:sz w:val="24"/>
          <w:szCs w:val="24"/>
          <w:lang w:eastAsia="zh-CN"/>
        </w:rPr>
        <w:t>以电极为热源，温度控制在</w:t>
      </w:r>
      <w:r>
        <w:rPr>
          <w:rFonts w:hint="default" w:ascii="Times New Roman" w:hAnsi="Times New Roman" w:eastAsia="宋体" w:cs="Times New Roman"/>
          <w:bCs/>
          <w:color w:val="auto"/>
          <w:sz w:val="24"/>
          <w:szCs w:val="24"/>
          <w:lang w:val="en-US" w:eastAsia="zh-CN"/>
        </w:rPr>
        <w:t>60-70</w:t>
      </w:r>
      <w:r>
        <w:rPr>
          <w:rFonts w:hint="default" w:ascii="Times New Roman" w:hAnsi="Times New Roman" w:eastAsia="宋体" w:cs="Times New Roman"/>
          <w:color w:val="auto"/>
          <w:spacing w:val="-10"/>
          <w:sz w:val="21"/>
          <w:szCs w:val="21"/>
        </w:rPr>
        <w:t>℃</w:t>
      </w:r>
      <w:r>
        <w:rPr>
          <w:rFonts w:hint="default" w:ascii="Times New Roman" w:hAnsi="Times New Roman" w:eastAsia="宋体" w:cs="Times New Roman"/>
          <w:bCs/>
          <w:color w:val="auto"/>
          <w:sz w:val="24"/>
          <w:szCs w:val="24"/>
        </w:rPr>
        <w:t>，操作时间14～20min。</w:t>
      </w:r>
      <w:r>
        <w:rPr>
          <w:rFonts w:hint="default" w:ascii="Times New Roman" w:hAnsi="Times New Roman" w:eastAsia="宋体" w:cs="Times New Roman"/>
          <w:bCs/>
          <w:color w:val="auto"/>
          <w:sz w:val="24"/>
          <w:szCs w:val="24"/>
          <w:lang w:eastAsia="zh-CN"/>
        </w:rPr>
        <w:t>电解</w:t>
      </w:r>
      <w:r>
        <w:rPr>
          <w:rFonts w:hint="default" w:ascii="Times New Roman" w:hAnsi="Times New Roman" w:eastAsia="宋体" w:cs="Times New Roman"/>
          <w:bCs/>
          <w:color w:val="auto"/>
          <w:sz w:val="24"/>
          <w:szCs w:val="24"/>
        </w:rPr>
        <w:t>除油主要是借助</w:t>
      </w:r>
      <w:r>
        <w:rPr>
          <w:rFonts w:hint="default" w:ascii="Times New Roman" w:hAnsi="Times New Roman" w:eastAsia="宋体" w:cs="Times New Roman"/>
          <w:bCs/>
          <w:color w:val="auto"/>
          <w:sz w:val="24"/>
          <w:szCs w:val="24"/>
          <w:lang w:eastAsia="zh-CN"/>
        </w:rPr>
        <w:t>电极表面上大量气体的析出，对油膜产生强大的冲击和乳化作用。</w:t>
      </w:r>
      <w:r>
        <w:rPr>
          <w:rFonts w:hint="default" w:ascii="Times New Roman" w:hAnsi="Times New Roman" w:eastAsia="宋体" w:cs="Times New Roman"/>
          <w:bCs/>
          <w:color w:val="auto"/>
          <w:sz w:val="24"/>
          <w:szCs w:val="24"/>
        </w:rPr>
        <w:t>经除油处理后的</w:t>
      </w:r>
      <w:r>
        <w:rPr>
          <w:rFonts w:hint="default" w:ascii="Times New Roman" w:hAnsi="Times New Roman" w:eastAsia="宋体" w:cs="Times New Roman"/>
          <w:bCs/>
          <w:color w:val="auto"/>
          <w:sz w:val="24"/>
          <w:szCs w:val="24"/>
          <w:lang w:eastAsia="zh-CN"/>
        </w:rPr>
        <w:t>镀</w:t>
      </w:r>
      <w:r>
        <w:rPr>
          <w:rFonts w:hint="default" w:ascii="Times New Roman" w:hAnsi="Times New Roman" w:eastAsia="宋体" w:cs="Times New Roman"/>
          <w:bCs/>
          <w:color w:val="auto"/>
          <w:sz w:val="24"/>
          <w:szCs w:val="24"/>
        </w:rPr>
        <w:t>件</w:t>
      </w:r>
      <w:r>
        <w:rPr>
          <w:rFonts w:hint="default" w:ascii="Times New Roman" w:hAnsi="Times New Roman" w:eastAsia="宋体" w:cs="Times New Roman"/>
          <w:bCs/>
          <w:color w:val="auto"/>
          <w:sz w:val="24"/>
          <w:szCs w:val="24"/>
          <w:lang w:eastAsia="zh-CN"/>
        </w:rPr>
        <w:t>进入水洗槽经过两次喷淋清洗</w:t>
      </w:r>
      <w:r>
        <w:rPr>
          <w:rFonts w:hint="default" w:ascii="Times New Roman" w:hAnsi="Times New Roman" w:eastAsia="宋体" w:cs="Times New Roman"/>
          <w:bCs/>
          <w:color w:val="auto"/>
          <w:sz w:val="24"/>
          <w:szCs w:val="24"/>
        </w:rPr>
        <w:t>，去除金属零件表面残留碱液和清洗剂后送入</w:t>
      </w:r>
      <w:r>
        <w:rPr>
          <w:rFonts w:hint="default" w:ascii="Times New Roman" w:hAnsi="Times New Roman" w:eastAsia="宋体" w:cs="Times New Roman"/>
          <w:bCs/>
          <w:color w:val="auto"/>
          <w:sz w:val="24"/>
          <w:szCs w:val="24"/>
          <w:lang w:eastAsia="zh-CN"/>
        </w:rPr>
        <w:t>活化</w:t>
      </w:r>
      <w:r>
        <w:rPr>
          <w:rFonts w:hint="default" w:ascii="Times New Roman" w:hAnsi="Times New Roman" w:eastAsia="宋体" w:cs="Times New Roman"/>
          <w:bCs/>
          <w:color w:val="auto"/>
          <w:sz w:val="24"/>
          <w:szCs w:val="24"/>
        </w:rPr>
        <w:t>工序，碱洗槽中的</w:t>
      </w:r>
      <w:r>
        <w:rPr>
          <w:rFonts w:hint="default" w:ascii="Times New Roman" w:hAnsi="Times New Roman" w:eastAsia="宋体" w:cs="Times New Roman"/>
          <w:bCs/>
          <w:color w:val="auto"/>
          <w:sz w:val="24"/>
          <w:szCs w:val="24"/>
          <w:lang w:eastAsia="zh-CN"/>
        </w:rPr>
        <w:t>槽液根据损耗定期补加</w:t>
      </w:r>
      <w:r>
        <w:rPr>
          <w:rFonts w:hint="default" w:ascii="Times New Roman" w:hAnsi="Times New Roman" w:eastAsia="宋体" w:cs="Times New Roman"/>
          <w:bCs/>
          <w:color w:val="auto"/>
          <w:sz w:val="24"/>
          <w:szCs w:val="24"/>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该工序污染源主要为化学碱洗槽产生的碱性</w:t>
      </w:r>
      <w:r>
        <w:rPr>
          <w:rFonts w:hint="default" w:ascii="Times New Roman" w:hAnsi="Times New Roman" w:eastAsia="宋体" w:cs="Times New Roman"/>
          <w:bCs/>
          <w:color w:val="auto"/>
          <w:sz w:val="24"/>
          <w:szCs w:val="24"/>
          <w:lang w:eastAsia="zh-CN"/>
        </w:rPr>
        <w:t>含油</w:t>
      </w:r>
      <w:r>
        <w:rPr>
          <w:rFonts w:hint="default" w:ascii="Times New Roman" w:hAnsi="Times New Roman" w:eastAsia="宋体" w:cs="Times New Roman"/>
          <w:bCs/>
          <w:color w:val="auto"/>
          <w:sz w:val="24"/>
          <w:szCs w:val="24"/>
        </w:rPr>
        <w:t>废水(W</w:t>
      </w:r>
      <w:r>
        <w:rPr>
          <w:rFonts w:hint="default" w:ascii="Times New Roman" w:hAnsi="Times New Roman" w:eastAsia="宋体" w:cs="Times New Roman"/>
          <w:bCs/>
          <w:color w:val="auto"/>
          <w:sz w:val="24"/>
          <w:szCs w:val="24"/>
          <w:vertAlign w:val="subscript"/>
          <w:lang w:val="en-US" w:eastAsia="zh-CN"/>
        </w:rPr>
        <w:t>1</w:t>
      </w:r>
      <w:r>
        <w:rPr>
          <w:rFonts w:hint="default" w:ascii="Times New Roman" w:hAnsi="Times New Roman" w:eastAsia="宋体" w:cs="Times New Roman"/>
          <w:bCs/>
          <w:color w:val="auto"/>
          <w:sz w:val="24"/>
          <w:szCs w:val="24"/>
        </w:rPr>
        <w:t>)。碱性</w:t>
      </w:r>
      <w:r>
        <w:rPr>
          <w:rFonts w:hint="default" w:ascii="Times New Roman" w:hAnsi="Times New Roman" w:eastAsia="宋体" w:cs="Times New Roman"/>
          <w:bCs/>
          <w:color w:val="auto"/>
          <w:sz w:val="24"/>
          <w:szCs w:val="24"/>
          <w:lang w:eastAsia="zh-CN"/>
        </w:rPr>
        <w:t>含油</w:t>
      </w:r>
      <w:r>
        <w:rPr>
          <w:rFonts w:hint="default" w:ascii="Times New Roman" w:hAnsi="Times New Roman" w:eastAsia="宋体" w:cs="Times New Roman"/>
          <w:bCs/>
          <w:color w:val="auto"/>
          <w:sz w:val="24"/>
          <w:szCs w:val="24"/>
        </w:rPr>
        <w:t>废水送综合污水处理站处理。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eastAsia="zh-CN"/>
        </w:rPr>
        <w:t>）活化</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在进行电镀处理前要进行活化处理，活化又称“弱侵蚀”，指在弱侵蚀溶液中短时间侵蚀，通过轻微的腐蚀作用使零件表面活化，露出金属的结晶组织，以保证镀层与基体结合强度高。工程采用30%稀硫酸作为活化剂。活化处理后送入水洗槽经两次喷淋清洗掉表面酸液。</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4"/>
          <w:szCs w:val="24"/>
          <w:lang w:val="en-US" w:eastAsia="zh-CN"/>
        </w:rPr>
        <w:t>活化过程主要化学反应过程如下：</w:t>
      </w:r>
    </w:p>
    <w:p>
      <w:pPr>
        <w:pageBreakBefore w:val="0"/>
        <w:kinsoku/>
        <w:wordWrap/>
        <w:overflowPunct/>
        <w:topLinePunct w:val="0"/>
        <w:bidi w:val="0"/>
        <w:spacing w:line="360" w:lineRule="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position w:val="-6"/>
          <w:sz w:val="24"/>
          <w:szCs w:val="24"/>
          <w:lang w:val="en-US" w:eastAsia="zh-CN"/>
        </w:rPr>
        <w:object>
          <v:shape id="_x0000_i1025" o:spt="75" type="#_x0000_t75" style="height:13.95pt;width:149pt;" o:ole="t" filled="f" o:preferrelative="t" stroked="f" coordsize="21600,21600">
            <v:path/>
            <v:fill on="f" focussize="0,0"/>
            <v:stroke on="f"/>
            <v:imagedata r:id="rId26" o:title=""/>
            <o:lock v:ext="edit" aspectratio="t"/>
            <w10:wrap type="none"/>
            <w10:anchorlock/>
          </v:shape>
          <o:OLEObject Type="Embed" ProgID="Equation.KSEE3" ShapeID="_x0000_i1025" DrawAspect="Content" ObjectID="_1468075725" r:id="rId25">
            <o:LockedField>false</o:LockedField>
          </o:OLEObject>
        </w:object>
      </w:r>
    </w:p>
    <w:p>
      <w:pPr>
        <w:pStyle w:val="2"/>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position w:val="-10"/>
          <w:lang w:val="en-US" w:eastAsia="zh-CN"/>
        </w:rPr>
        <w:object>
          <v:shape id="_x0000_i1026" o:spt="75" type="#_x0000_t75" style="height:16pt;width:183pt;" o:ole="t" filled="f" o:preferrelative="t" stroked="f" coordsize="21600,21600">
            <v:path/>
            <v:fill on="f" focussize="0,0"/>
            <v:stroke on="f"/>
            <v:imagedata r:id="rId28" o:title=""/>
            <o:lock v:ext="edit" aspectratio="t"/>
            <w10:wrap type="none"/>
            <w10:anchorlock/>
          </v:shape>
          <o:OLEObject Type="Embed" ProgID="Equation.KSEE3" ShapeID="_x0000_i1026" DrawAspect="Content" ObjectID="_1468075726" r:id="rId27">
            <o:LockedField>false</o:LockedField>
          </o:OLEObject>
        </w:objec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position w:val="-10"/>
          <w:lang w:val="en-US" w:eastAsia="zh-CN"/>
        </w:rPr>
        <w:object>
          <v:shape id="_x0000_i1027" o:spt="75" type="#_x0000_t75" style="height:16pt;width:227pt;" o:ole="t" filled="f" o:preferrelative="t" stroked="f" coordsize="21600,21600">
            <v:path/>
            <v:fill on="f" focussize="0,0"/>
            <v:stroke on="f"/>
            <v:imagedata r:id="rId30" o:title=""/>
            <o:lock v:ext="edit" aspectratio="t"/>
            <w10:wrap type="none"/>
            <w10:anchorlock/>
          </v:shape>
          <o:OLEObject Type="Embed" ProgID="Equation.KSEE3" ShapeID="_x0000_i1027" DrawAspect="Content" ObjectID="_1468075727" r:id="rId29">
            <o:LockedField>false</o:LockedField>
          </o:OLEObject>
        </w:object>
      </w:r>
    </w:p>
    <w:p>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该工序污染源主要为酸洗及活化</w:t>
      </w:r>
      <w:r>
        <w:rPr>
          <w:rFonts w:hint="default" w:ascii="Times New Roman" w:hAnsi="Times New Roman" w:eastAsia="宋体" w:cs="Times New Roman"/>
          <w:bCs/>
          <w:color w:val="auto"/>
          <w:sz w:val="24"/>
          <w:szCs w:val="24"/>
        </w:rPr>
        <w:t>过程产生的酸雾(G</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)和漂洗产生的酸性废水(W</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)及酸洗槽定期排放废酸(S</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)。工程采取在酸洗槽上部加装侧吸罩，将酸雾收集后送洗涤塔净化的净化措施；酸性废水送综合污水处理站处理，废酸送有资质的危废处置单位处理。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镀</w:t>
      </w:r>
      <w:r>
        <w:rPr>
          <w:rFonts w:hint="default" w:ascii="Times New Roman" w:hAnsi="Times New Roman" w:eastAsia="宋体" w:cs="Times New Roman"/>
          <w:bCs/>
          <w:color w:val="auto"/>
          <w:sz w:val="24"/>
          <w:szCs w:val="24"/>
          <w:lang w:eastAsia="zh-CN"/>
        </w:rPr>
        <w:t>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经过活化的零件进入电镀</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工序。电镀液由</w:t>
      </w:r>
      <w:r>
        <w:rPr>
          <w:rFonts w:hint="default" w:ascii="Times New Roman" w:hAnsi="Times New Roman" w:eastAsia="宋体" w:cs="Times New Roman"/>
          <w:bCs/>
          <w:color w:val="auto"/>
          <w:sz w:val="24"/>
          <w:szCs w:val="24"/>
          <w:lang w:eastAsia="zh-CN"/>
        </w:rPr>
        <w:t>氯化亚铁</w:t>
      </w:r>
      <w:r>
        <w:rPr>
          <w:rFonts w:hint="default" w:ascii="Times New Roman" w:hAnsi="Times New Roman" w:eastAsia="宋体" w:cs="Times New Roman"/>
          <w:bCs/>
          <w:color w:val="auto"/>
          <w:sz w:val="24"/>
          <w:szCs w:val="24"/>
        </w:rPr>
        <w:t>、氯化</w:t>
      </w:r>
      <w:r>
        <w:rPr>
          <w:rFonts w:hint="default" w:ascii="Times New Roman" w:hAnsi="Times New Roman" w:eastAsia="宋体" w:cs="Times New Roman"/>
          <w:bCs/>
          <w:color w:val="auto"/>
          <w:sz w:val="24"/>
          <w:szCs w:val="24"/>
          <w:lang w:eastAsia="zh-CN"/>
        </w:rPr>
        <w:t>钠</w:t>
      </w:r>
      <w:r>
        <w:rPr>
          <w:rFonts w:hint="default" w:ascii="Times New Roman" w:hAnsi="Times New Roman" w:eastAsia="宋体" w:cs="Times New Roman"/>
          <w:bCs/>
          <w:color w:val="auto"/>
          <w:sz w:val="24"/>
          <w:szCs w:val="24"/>
        </w:rPr>
        <w:t>和</w:t>
      </w:r>
      <w:r>
        <w:rPr>
          <w:rFonts w:hint="default" w:ascii="Times New Roman" w:hAnsi="Times New Roman" w:eastAsia="宋体" w:cs="Times New Roman"/>
          <w:bCs/>
          <w:color w:val="auto"/>
          <w:sz w:val="24"/>
          <w:szCs w:val="24"/>
          <w:lang w:eastAsia="zh-CN"/>
        </w:rPr>
        <w:t>盐</w:t>
      </w:r>
      <w:r>
        <w:rPr>
          <w:rFonts w:hint="default" w:ascii="Times New Roman" w:hAnsi="Times New Roman" w:eastAsia="宋体" w:cs="Times New Roman"/>
          <w:bCs/>
          <w:color w:val="auto"/>
          <w:sz w:val="24"/>
          <w:szCs w:val="24"/>
        </w:rPr>
        <w:t>酸配制而成，其浓度分别为80</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g/L、200</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g/L和40</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g/L。将镀件</w:t>
      </w:r>
      <w:r>
        <w:rPr>
          <w:rFonts w:hint="default" w:ascii="Times New Roman" w:hAnsi="Times New Roman" w:eastAsia="宋体" w:cs="Times New Roman"/>
          <w:bCs/>
          <w:color w:val="auto"/>
          <w:sz w:val="24"/>
          <w:szCs w:val="24"/>
          <w:lang w:eastAsia="zh-CN"/>
        </w:rPr>
        <w:t>挂入槽中</w:t>
      </w:r>
      <w:r>
        <w:rPr>
          <w:rFonts w:hint="default" w:ascii="Times New Roman" w:hAnsi="Times New Roman" w:eastAsia="宋体" w:cs="Times New Roman"/>
          <w:bCs/>
          <w:color w:val="auto"/>
          <w:sz w:val="24"/>
          <w:szCs w:val="24"/>
        </w:rPr>
        <w:t>并置于电镀液中，</w:t>
      </w:r>
      <w:r>
        <w:rPr>
          <w:rFonts w:hint="default" w:ascii="Times New Roman" w:hAnsi="Times New Roman" w:eastAsia="宋体" w:cs="Times New Roman"/>
          <w:bCs/>
          <w:color w:val="auto"/>
          <w:sz w:val="24"/>
          <w:szCs w:val="24"/>
          <w:lang w:eastAsia="zh-CN"/>
        </w:rPr>
        <w:t>电镀液温度为</w:t>
      </w:r>
      <w:r>
        <w:rPr>
          <w:rFonts w:hint="default" w:ascii="Times New Roman" w:hAnsi="Times New Roman" w:eastAsia="宋体" w:cs="Times New Roman"/>
          <w:bCs/>
          <w:color w:val="auto"/>
          <w:sz w:val="24"/>
          <w:szCs w:val="24"/>
          <w:lang w:val="en-US" w:eastAsia="zh-CN"/>
        </w:rPr>
        <w:t>60-90度</w:t>
      </w:r>
      <w:r>
        <w:rPr>
          <w:rFonts w:hint="default" w:ascii="Times New Roman" w:hAnsi="Times New Roman" w:eastAsia="宋体" w:cs="Times New Roman"/>
          <w:bCs/>
          <w:color w:val="auto"/>
          <w:sz w:val="24"/>
          <w:szCs w:val="24"/>
        </w:rPr>
        <w:t>，通入直流电进行镀</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电镀时间</w:t>
      </w:r>
      <w:r>
        <w:rPr>
          <w:rFonts w:hint="default" w:ascii="Times New Roman" w:hAnsi="Times New Roman" w:eastAsia="宋体" w:cs="Times New Roman"/>
          <w:bCs/>
          <w:color w:val="auto"/>
          <w:sz w:val="24"/>
          <w:szCs w:val="24"/>
          <w:lang w:val="en-US" w:eastAsia="zh-CN"/>
        </w:rPr>
        <w:t>3-6小时。</w:t>
      </w:r>
      <w:r>
        <w:rPr>
          <w:rFonts w:hint="default" w:ascii="Times New Roman" w:hAnsi="Times New Roman" w:eastAsia="宋体" w:cs="Times New Roman"/>
          <w:bCs/>
          <w:color w:val="auto"/>
          <w:sz w:val="24"/>
          <w:szCs w:val="24"/>
        </w:rPr>
        <w:t>电镀液在使用一段时间后会形成沉积物，为保证镀液质量，需经过滤处理，经过滤后电镀液返回镀槽循环使用，电镀液</w:t>
      </w:r>
      <w:r>
        <w:rPr>
          <w:rFonts w:hint="default" w:ascii="Times New Roman" w:hAnsi="Times New Roman" w:eastAsia="宋体" w:cs="Times New Roman"/>
          <w:bCs/>
          <w:color w:val="auto"/>
          <w:sz w:val="24"/>
          <w:szCs w:val="24"/>
          <w:lang w:eastAsia="zh-CN"/>
        </w:rPr>
        <w:t>根据消耗补加原料</w:t>
      </w:r>
      <w:r>
        <w:rPr>
          <w:rFonts w:hint="default" w:ascii="Times New Roman" w:hAnsi="Times New Roman" w:eastAsia="宋体" w:cs="Times New Roman"/>
          <w:bCs/>
          <w:color w:val="auto"/>
          <w:sz w:val="24"/>
          <w:szCs w:val="24"/>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电镀结束后采用天车吊起</w:t>
      </w:r>
      <w:r>
        <w:rPr>
          <w:rFonts w:hint="default" w:ascii="Times New Roman" w:hAnsi="Times New Roman" w:eastAsia="宋体" w:cs="Times New Roman"/>
          <w:bCs/>
          <w:color w:val="auto"/>
          <w:sz w:val="24"/>
          <w:szCs w:val="24"/>
          <w:lang w:eastAsia="zh-CN"/>
        </w:rPr>
        <w:t>挂架</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电镀后的镀件放入回收槽，回收镀液后由水洗槽经两次逆流漂洗清洗掉表面酸液。经过回收后的电镀液铁的利用率在</w:t>
      </w:r>
      <w:r>
        <w:rPr>
          <w:rFonts w:hint="default" w:ascii="Times New Roman" w:hAnsi="Times New Roman" w:eastAsia="宋体" w:cs="Times New Roman"/>
          <w:bCs/>
          <w:color w:val="auto"/>
          <w:sz w:val="24"/>
          <w:szCs w:val="24"/>
          <w:lang w:val="en-US" w:eastAsia="zh-CN"/>
        </w:rPr>
        <w:t>82%以上。</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镀</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过程反应原理为：</w:t>
      </w:r>
    </w:p>
    <w:p>
      <w:pPr>
        <w:pageBreakBefore w:val="0"/>
        <w:numPr>
          <w:ilvl w:val="0"/>
          <w:numId w:val="1"/>
        </w:numPr>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阴极过程：氯化</w:t>
      </w:r>
      <w:r>
        <w:rPr>
          <w:rFonts w:hint="default" w:ascii="Times New Roman" w:hAnsi="Times New Roman" w:eastAsia="宋体" w:cs="Times New Roman"/>
          <w:bCs/>
          <w:color w:val="auto"/>
          <w:sz w:val="24"/>
          <w:szCs w:val="24"/>
          <w:lang w:eastAsia="zh-CN"/>
        </w:rPr>
        <w:t>亚铁</w:t>
      </w:r>
      <w:r>
        <w:rPr>
          <w:rFonts w:hint="default" w:ascii="Times New Roman" w:hAnsi="Times New Roman" w:eastAsia="宋体" w:cs="Times New Roman"/>
          <w:bCs/>
          <w:color w:val="auto"/>
          <w:sz w:val="24"/>
          <w:szCs w:val="24"/>
        </w:rPr>
        <w:t>水溶液在电解时，</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在阴极上得到电子，沉积出</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，同时，部分氢离子被还原放出氢气：</w:t>
      </w:r>
    </w:p>
    <w:p>
      <w:pPr>
        <w:pStyle w:val="2"/>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position w:val="-6"/>
          <w:lang w:eastAsia="zh-CN"/>
        </w:rPr>
        <w:object>
          <v:shape id="_x0000_i1028" o:spt="75" type="#_x0000_t75" style="height:20pt;width:108pt;" o:ole="t" filled="f" o:preferrelative="t" stroked="f" coordsize="21600,21600">
            <v:path/>
            <v:fill on="f" focussize="0,0"/>
            <v:stroke on="f"/>
            <v:imagedata r:id="rId32" o:title=""/>
            <o:lock v:ext="edit" aspectratio="t"/>
            <w10:wrap type="none"/>
            <w10:anchorlock/>
          </v:shape>
          <o:OLEObject Type="Embed" ProgID="Equation.KSEE3" ShapeID="_x0000_i1028" DrawAspect="Content" ObjectID="_1468075728" r:id="rId31">
            <o:LockedField>false</o:LockedField>
          </o:OLEObject>
        </w:objec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kern w:val="0"/>
          <w:lang w:val="zh-CN"/>
        </w:rPr>
      </w:pPr>
      <w:r>
        <w:rPr>
          <w:rFonts w:hint="default" w:ascii="Times New Roman" w:hAnsi="Times New Roman" w:eastAsia="宋体" w:cs="Times New Roman"/>
          <w:bCs/>
          <w:color w:val="auto"/>
          <w:position w:val="-6"/>
          <w:sz w:val="24"/>
          <w:szCs w:val="24"/>
          <w:lang w:eastAsia="zh-CN"/>
        </w:rPr>
        <w:object>
          <v:shape id="_x0000_i1029" o:spt="75" type="#_x0000_t75" style="height:16pt;width:78.95pt;" o:ole="t" filled="f" o:preferrelative="t" stroked="f" coordsize="21600,21600">
            <v:path/>
            <v:fill on="f" focussize="0,0"/>
            <v:stroke on="f"/>
            <v:imagedata r:id="rId34" o:title=""/>
            <o:lock v:ext="edit" aspectratio="t"/>
            <w10:wrap type="none"/>
            <w10:anchorlock/>
          </v:shape>
          <o:OLEObject Type="Embed" ProgID="Equation.KSEE3" ShapeID="_x0000_i1029" DrawAspect="Content" ObjectID="_1468075729" r:id="rId33">
            <o:LockedField>false</o:LockedField>
          </o:OLEObject>
        </w:objec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position w:val="-6"/>
          <w:sz w:val="24"/>
          <w:szCs w:val="24"/>
          <w:lang w:eastAsia="zh-CN"/>
        </w:rPr>
        <w:object>
          <v:shape id="_x0000_i1030" o:spt="75" type="#_x0000_t75" style="height:16pt;width:90pt;" o:ole="t" filled="f" o:preferrelative="t" stroked="f" coordsize="21600,21600">
            <v:path/>
            <v:fill on="f" focussize="0,0"/>
            <v:stroke on="f"/>
            <v:imagedata r:id="rId36" o:title=""/>
            <o:lock v:ext="edit" aspectratio="t"/>
            <w10:wrap type="none"/>
            <w10:anchorlock/>
          </v:shape>
          <o:OLEObject Type="Embed" ProgID="Equation.KSEE3" ShapeID="_x0000_i1030" DrawAspect="Content" ObjectID="_1468075730" r:id="rId35">
            <o:LockedField>false</o:LockedField>
          </o:OLEObject>
        </w:object>
      </w:r>
    </w:p>
    <w:p>
      <w:pPr>
        <w:pageBreakBefore w:val="0"/>
        <w:numPr>
          <w:ilvl w:val="0"/>
          <w:numId w:val="1"/>
        </w:numPr>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阳极过程：</w:t>
      </w:r>
      <w:r>
        <w:rPr>
          <w:rFonts w:hint="default" w:ascii="Times New Roman" w:hAnsi="Times New Roman" w:eastAsia="宋体" w:cs="Times New Roman"/>
          <w:bCs/>
          <w:color w:val="auto"/>
          <w:sz w:val="24"/>
          <w:szCs w:val="24"/>
          <w:lang w:eastAsia="zh-CN"/>
        </w:rPr>
        <w:t>铁</w:t>
      </w:r>
      <w:r>
        <w:rPr>
          <w:rFonts w:hint="default" w:ascii="Times New Roman" w:hAnsi="Times New Roman" w:eastAsia="宋体" w:cs="Times New Roman"/>
          <w:bCs/>
          <w:color w:val="auto"/>
          <w:sz w:val="24"/>
          <w:szCs w:val="24"/>
        </w:rPr>
        <w:t>阳极在大量氯离子存在时很容易溶解，进入电解液中，最终在阴极析出。阳极电流效率尽管很高，但在电解时仍有少量氢氧根失去电子放出氧。</w:t>
      </w:r>
    </w:p>
    <w:p>
      <w:pPr>
        <w:pStyle w:val="2"/>
        <w:pageBreakBefore w:val="0"/>
        <w:numPr>
          <w:ilvl w:val="0"/>
          <w:numId w:val="0"/>
        </w:numPr>
        <w:kinsoku/>
        <w:wordWrap/>
        <w:overflowPunct/>
        <w:topLinePunct w:val="0"/>
        <w:bidi w:val="0"/>
        <w:spacing w:line="360" w:lineRule="auto"/>
        <w:ind w:left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position w:val="-6"/>
          <w:lang w:eastAsia="zh-CN"/>
        </w:rPr>
        <w:object>
          <v:shape id="_x0000_i1031" o:spt="75" type="#_x0000_t75" style="height:16pt;width:78.95pt;" o:ole="t" filled="f" o:preferrelative="t" stroked="f" coordsize="21600,21600">
            <v:path/>
            <v:fill on="f" focussize="0,0"/>
            <v:stroke on="f"/>
            <v:imagedata r:id="rId38" o:title=""/>
            <o:lock v:ext="edit" aspectratio="t"/>
            <w10:wrap type="none"/>
            <w10:anchorlock/>
          </v:shape>
          <o:OLEObject Type="Embed" ProgID="Equation.KSEE3" ShapeID="_x0000_i1031" DrawAspect="Content" ObjectID="_1468075731" r:id="rId37">
            <o:LockedField>false</o:LockedField>
          </o:OLEObject>
        </w:object>
      </w:r>
    </w:p>
    <w:p>
      <w:pPr>
        <w:pStyle w:val="2"/>
        <w:pageBreakBefore w:val="0"/>
        <w:numPr>
          <w:ilvl w:val="0"/>
          <w:numId w:val="0"/>
        </w:numPr>
        <w:kinsoku/>
        <w:wordWrap/>
        <w:overflowPunct/>
        <w:topLinePunct w:val="0"/>
        <w:bidi w:val="0"/>
        <w:spacing w:line="360" w:lineRule="auto"/>
        <w:ind w:leftChars="200"/>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position w:val="-12"/>
          <w:lang w:val="zh-CN"/>
        </w:rPr>
        <w:object>
          <v:shape id="_x0000_i1032" o:spt="75" type="#_x0000_t75" style="height:19pt;width:135pt;" o:ole="t" filled="f" o:preferrelative="t" stroked="f" coordsize="21600,21600">
            <v:path/>
            <v:fill on="f" alignshape="1" focussize="0,0"/>
            <v:stroke on="f"/>
            <v:imagedata r:id="rId40" o:title=""/>
            <o:lock v:ext="edit" aspectratio="t"/>
            <w10:wrap type="none"/>
            <w10:anchorlock/>
          </v:shape>
          <o:OLEObject Type="Embed" ProgID="Equation.DSMT4" ShapeID="_x0000_i1032" DrawAspect="Content" ObjectID="_1468075732" r:id="rId39">
            <o:LockedField>false</o:LockedField>
          </o:OLEObject>
        </w:objec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镀铁完成经回收镀液后进入水洗槽经两次逆流漂洗清洗镀件表面残留镀液，清洗完成晾干后即可进入精加工工序。</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该工序污染源主要为</w:t>
      </w:r>
      <w:r>
        <w:rPr>
          <w:rFonts w:hint="default" w:ascii="Times New Roman" w:hAnsi="Times New Roman" w:eastAsia="宋体" w:cs="Times New Roman"/>
          <w:bCs/>
          <w:color w:val="auto"/>
          <w:sz w:val="24"/>
          <w:szCs w:val="24"/>
          <w:lang w:eastAsia="zh-CN"/>
        </w:rPr>
        <w:t>镀铁槽少量的盐酸雾、电镀件漂洗含铁离子废水、过滤产生的废镀液。水洗含铁离子废水送含铁废水处理站处理。费电镀液和过滤产生的电镀沉渣送有资质的危废处置单位处理。</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3.2.2.3 精加工</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镀铁完成后的工作直径、厚度等参数较镀前有所增加，需要采用各类精加工机床进行加工处理，使得工件的尺寸恢复为原来的设计尺寸。</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工序污染源主要为各类机床噪声、机加工下脚料、废润滑油及废乳化液。其中各种加工机床采用基础减震和厂房隔声的降噪措施，下脚料外售钢厂做烧结原料，废润滑油及废乳化液送有资质的危废处置单位处理。</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3.2.2.4 镀铬</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镀铬生产线前处理工艺过程包括电解除油、水洗、镀铬、水洗。与电镀铁生产线基本一致。镀铬工序的电镀液由铬酐、硫酸和光亮剂等配置而成。将镀件放在挂具上，安装好不溶性阳极板，放入电镀液中，通过直流电，即开始进行镀铬，电镀槽温度为55-65度。根据镀件品种要求，控制电镀时间。电镀液在使用一段时间后回形成沉积物，需经过滤处理，经过滤后电镀液返回电镀槽循环使用。</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同时在电镀生产线槽间加斜向挡液板，使镀件带出的镀液流回镀槽。在镀槽后设置两级静止水浸洗回收槽，来进一步回收镀液和降低漂洗废水中污染物的浓度。当浸洗回收槽回收液达到一定浓度后，作为镀槽的补充液利用。</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电镀后的镀件放入水洗槽经两次逆流漂洗清洗掉表面酸液，镀铬过程完成，抛光整理入库。镀铬过程反应原理为：</w:t>
      </w:r>
    </w:p>
    <w:p>
      <w:pPr>
        <w:pStyle w:val="14"/>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阴极过程：镀铬液中，铬酸一般以重铬酸形式存在，在阴极上依次发生下列反应。</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6"/>
          <w:sz w:val="24"/>
          <w:szCs w:val="24"/>
          <w:lang w:val="en-US" w:eastAsia="zh-CN"/>
        </w:rPr>
        <w:object>
          <v:shape id="_x0000_i1033" o:spt="75" type="#_x0000_t75" style="height:16pt;width:182pt;" o:ole="t" filled="f" o:preferrelative="t" stroked="f" coordsize="21600,21600">
            <v:path/>
            <v:fill on="f" focussize="0,0"/>
            <v:stroke on="f"/>
            <v:imagedata r:id="rId42" o:title=""/>
            <o:lock v:ext="edit" aspectratio="t"/>
            <w10:wrap type="none"/>
            <w10:anchorlock/>
          </v:shape>
          <o:OLEObject Type="Embed" ProgID="Equation.KSEE3" ShapeID="_x0000_i1033" DrawAspect="Content" ObjectID="_1468075733" r:id="rId41">
            <o:LockedField>false</o:LockedField>
          </o:OLEObject>
        </w:objec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position w:val="-6"/>
          <w:sz w:val="24"/>
          <w:szCs w:val="24"/>
          <w:lang w:eastAsia="zh-CN"/>
        </w:rPr>
        <w:object>
          <v:shape id="_x0000_i1034" o:spt="75" type="#_x0000_t75" style="height:16pt;width:90pt;" o:ole="t" filled="f" o:preferrelative="t" stroked="f" coordsize="21600,21600">
            <v:path/>
            <v:fill on="f" focussize="0,0"/>
            <v:stroke on="f"/>
            <v:imagedata r:id="rId36" o:title=""/>
            <o:lock v:ext="edit" aspectratio="t"/>
            <w10:wrap type="none"/>
            <w10:anchorlock/>
          </v:shape>
          <o:OLEObject Type="Embed" ProgID="Equation.KSEE3" ShapeID="_x0000_i1034" DrawAspect="Content" ObjectID="_1468075734" r:id="rId43">
            <o:LockedField>false</o:LockedField>
          </o:OLEObject>
        </w:objec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position w:val="-6"/>
          <w:sz w:val="24"/>
          <w:szCs w:val="24"/>
          <w:lang w:val="en-US" w:eastAsia="zh-CN"/>
        </w:rPr>
        <w:object>
          <v:shape id="_x0000_i1035" o:spt="75" type="#_x0000_t75" style="height:16pt;width:164pt;" o:ole="t" filled="f" o:preferrelative="t" stroked="f" coordsize="21600,21600">
            <v:path/>
            <v:fill on="f" focussize="0,0"/>
            <v:stroke on="f"/>
            <v:imagedata r:id="rId45" o:title=""/>
            <o:lock v:ext="edit" aspectratio="t"/>
            <w10:wrap type="none"/>
            <w10:anchorlock/>
          </v:shape>
          <o:OLEObject Type="Embed" ProgID="Equation.KSEE3" ShapeID="_x0000_i1035" DrawAspect="Content" ObjectID="_1468075735" r:id="rId44">
            <o:LockedField>false</o:LockedField>
          </o:OLEObject>
        </w:objec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position w:val="-6"/>
          <w:sz w:val="24"/>
          <w:szCs w:val="24"/>
          <w:lang w:val="en-US" w:eastAsia="zh-CN"/>
        </w:rPr>
        <w:object>
          <v:shape id="_x0000_i1036" o:spt="75" type="#_x0000_t75" style="height:16pt;width:168.95pt;" o:ole="t" filled="f" o:preferrelative="t" stroked="f" coordsize="21600,21600">
            <v:path/>
            <v:fill on="f" focussize="0,0"/>
            <v:stroke on="f"/>
            <v:imagedata r:id="rId47" o:title=""/>
            <o:lock v:ext="edit" aspectratio="t"/>
            <w10:wrap type="none"/>
            <w10:anchorlock/>
          </v:shape>
          <o:OLEObject Type="Embed" ProgID="Equation.KSEE3" ShapeID="_x0000_i1036" DrawAspect="Content" ObjectID="_1468075736" r:id="rId46">
            <o:LockedField>false</o:LockedField>
          </o:OLEObject>
        </w:object>
      </w:r>
    </w:p>
    <w:p>
      <w:pPr>
        <w:pStyle w:val="14"/>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阳极过程:阳极在电解时仍有少量氢氧根失去电子放出氧。</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position w:val="-12"/>
          <w:lang w:val="zh-CN"/>
        </w:rPr>
        <w:object>
          <v:shape id="_x0000_i1037" o:spt="75" type="#_x0000_t75" style="height:19pt;width:135pt;" o:ole="t" filled="f" o:preferrelative="t" stroked="f" coordsize="21600,21600">
            <v:path/>
            <v:fill on="f" alignshape="1" focussize="0,0"/>
            <v:stroke on="f"/>
            <v:imagedata r:id="rId40" o:title=""/>
            <o:lock v:ext="edit" aspectratio="t"/>
            <w10:wrap type="none"/>
            <w10:anchorlock/>
          </v:shape>
          <o:OLEObject Type="Embed" ProgID="Equation.DSMT4" ShapeID="_x0000_i1037" DrawAspect="Content" ObjectID="_1468075737" r:id="rId48">
            <o:LockedField>false</o:LockedField>
          </o:OLEObject>
        </w:object>
      </w:r>
    </w:p>
    <w:p>
      <w:pPr>
        <w:pStyle w:val="6"/>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lang w:val="en-US" w:eastAsia="zh-CN"/>
        </w:rPr>
      </w:pPr>
      <w:bookmarkStart w:id="73" w:name="_Toc8126"/>
      <w:r>
        <w:rPr>
          <w:rFonts w:hint="default" w:ascii="Times New Roman" w:hAnsi="Times New Roman" w:eastAsia="宋体" w:cs="Times New Roman"/>
          <w:color w:val="auto"/>
          <w:lang w:val="en-US" w:eastAsia="zh-CN"/>
        </w:rPr>
        <w:t>3.2.3 排污节点</w:t>
      </w:r>
      <w:bookmarkEnd w:id="73"/>
    </w:p>
    <w:p>
      <w:pPr>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z w:val="24"/>
          <w:szCs w:val="24"/>
          <w:lang w:val="en-US" w:eastAsia="zh-CN"/>
        </w:rPr>
        <w:t>邢台兴安液压机械有限公司</w:t>
      </w:r>
      <w:r>
        <w:rPr>
          <w:rFonts w:hint="default" w:ascii="Times New Roman" w:hAnsi="Times New Roman" w:eastAsia="宋体" w:cs="Times New Roman"/>
          <w:bCs/>
          <w:color w:val="auto"/>
          <w:sz w:val="24"/>
          <w:szCs w:val="24"/>
        </w:rPr>
        <w:t>工艺流程及排污节</w:t>
      </w:r>
      <w:r>
        <w:rPr>
          <w:rFonts w:hint="default" w:ascii="Times New Roman" w:hAnsi="Times New Roman" w:eastAsia="宋体" w:cs="Times New Roman"/>
          <w:bCs/>
          <w:color w:val="auto"/>
          <w:sz w:val="24"/>
          <w:szCs w:val="24"/>
          <w:lang w:eastAsia="zh-CN"/>
        </w:rPr>
        <w:t>点见图</w:t>
      </w:r>
      <w:r>
        <w:rPr>
          <w:rFonts w:hint="default" w:ascii="Times New Roman" w:hAnsi="Times New Roman" w:eastAsia="宋体" w:cs="Times New Roman"/>
          <w:bCs/>
          <w:color w:val="auto"/>
          <w:sz w:val="24"/>
          <w:szCs w:val="24"/>
          <w:lang w:val="en-US" w:eastAsia="zh-CN"/>
        </w:rPr>
        <w:t>3.2-1。主要排污节点信息详见表3.2-2。</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166995" cy="3327400"/>
            <wp:effectExtent l="0" t="0" r="1460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9"/>
                    <a:stretch>
                      <a:fillRect/>
                    </a:stretch>
                  </pic:blipFill>
                  <pic:spPr>
                    <a:xfrm>
                      <a:off x="0" y="0"/>
                      <a:ext cx="5166995" cy="33274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sz w:val="24"/>
          <w:szCs w:val="24"/>
          <w:lang w:eastAsia="zh-CN"/>
        </w:rPr>
      </w:pPr>
      <w:r>
        <w:rPr>
          <w:rFonts w:hint="default" w:ascii="Times New Roman" w:hAnsi="Times New Roman" w:eastAsia="宋体" w:cs="Times New Roman"/>
          <w:b/>
          <w:bCs w:val="0"/>
          <w:color w:val="auto"/>
          <w:sz w:val="24"/>
          <w:szCs w:val="24"/>
          <w:lang w:eastAsia="zh-CN"/>
        </w:rPr>
        <w:t>图</w:t>
      </w:r>
      <w:r>
        <w:rPr>
          <w:rFonts w:hint="default" w:ascii="Times New Roman" w:hAnsi="Times New Roman" w:eastAsia="宋体" w:cs="Times New Roman"/>
          <w:b/>
          <w:bCs w:val="0"/>
          <w:color w:val="auto"/>
          <w:sz w:val="24"/>
          <w:szCs w:val="24"/>
          <w:lang w:val="en-US" w:eastAsia="zh-CN"/>
        </w:rPr>
        <w:t xml:space="preserve">3.2-1  </w:t>
      </w:r>
      <w:r>
        <w:rPr>
          <w:rFonts w:hint="default" w:ascii="Times New Roman" w:hAnsi="Times New Roman" w:eastAsia="宋体" w:cs="Times New Roman"/>
          <w:b/>
          <w:bCs w:val="0"/>
          <w:color w:val="auto"/>
          <w:sz w:val="24"/>
          <w:szCs w:val="24"/>
        </w:rPr>
        <w:t>工艺流程及排污节</w:t>
      </w:r>
      <w:r>
        <w:rPr>
          <w:rFonts w:hint="default" w:ascii="Times New Roman" w:hAnsi="Times New Roman" w:eastAsia="宋体" w:cs="Times New Roman"/>
          <w:b/>
          <w:bCs w:val="0"/>
          <w:color w:val="auto"/>
          <w:sz w:val="24"/>
          <w:szCs w:val="24"/>
          <w:lang w:eastAsia="zh-CN"/>
        </w:rPr>
        <w:t>点图</w:t>
      </w: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sz w:val="24"/>
          <w:szCs w:val="24"/>
          <w:lang w:val="en-US"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sz w:val="24"/>
          <w:szCs w:val="24"/>
          <w:lang w:val="en-US"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sz w:val="24"/>
          <w:szCs w:val="24"/>
          <w:lang w:val="en-US" w:eastAsia="zh-CN"/>
        </w:rPr>
      </w:pP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表3.2-2  生产工艺污染源及其治理措施一览表</w:t>
      </w:r>
    </w:p>
    <w:tbl>
      <w:tblPr>
        <w:tblStyle w:val="17"/>
        <w:tblW w:w="81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66"/>
        <w:gridCol w:w="368"/>
        <w:gridCol w:w="1078"/>
        <w:gridCol w:w="760"/>
        <w:gridCol w:w="703"/>
        <w:gridCol w:w="787"/>
        <w:gridCol w:w="910"/>
        <w:gridCol w:w="684"/>
        <w:gridCol w:w="703"/>
        <w:gridCol w:w="684"/>
        <w:gridCol w:w="12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类</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别</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号</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污染源</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名称</w:t>
            </w:r>
          </w:p>
        </w:tc>
        <w:tc>
          <w:tcPr>
            <w:tcW w:w="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w:t>
            </w:r>
            <w:r>
              <w:rPr>
                <w:rFonts w:hint="default" w:ascii="Times New Roman" w:hAnsi="Times New Roman" w:eastAsia="宋体" w:cs="Times New Roman"/>
                <w:b w:val="0"/>
                <w:bCs w:val="0"/>
                <w:color w:val="auto"/>
                <w:spacing w:val="-20"/>
                <w:kern w:val="2"/>
                <w:sz w:val="21"/>
                <w:szCs w:val="21"/>
                <w:vertAlign w:val="superscript"/>
              </w:rPr>
              <w:t>3</w:t>
            </w:r>
            <w:r>
              <w:rPr>
                <w:rFonts w:hint="default" w:ascii="Times New Roman" w:hAnsi="Times New Roman" w:eastAsia="宋体" w:cs="Times New Roman"/>
                <w:b w:val="0"/>
                <w:bCs w:val="0"/>
                <w:color w:val="auto"/>
                <w:spacing w:val="-20"/>
                <w:kern w:val="2"/>
                <w:sz w:val="21"/>
                <w:szCs w:val="21"/>
              </w:rPr>
              <w:t>/h)</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因子</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源强</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(mg/m</w:t>
            </w:r>
            <w:r>
              <w:rPr>
                <w:rFonts w:hint="default" w:ascii="Times New Roman" w:hAnsi="Times New Roman" w:eastAsia="宋体" w:cs="Times New Roman"/>
                <w:b w:val="0"/>
                <w:bCs w:val="0"/>
                <w:color w:val="auto"/>
                <w:spacing w:val="-20"/>
                <w:kern w:val="2"/>
                <w:sz w:val="21"/>
                <w:szCs w:val="21"/>
                <w:vertAlign w:val="superscript"/>
              </w:rPr>
              <w:t>3</w:t>
            </w:r>
            <w:r>
              <w:rPr>
                <w:rFonts w:hint="default" w:ascii="Times New Roman" w:hAnsi="Times New Roman" w:eastAsia="宋体" w:cs="Times New Roman"/>
                <w:b w:val="0"/>
                <w:bCs w:val="0"/>
                <w:color w:val="auto"/>
                <w:spacing w:val="-20"/>
                <w:kern w:val="2"/>
                <w:sz w:val="21"/>
                <w:szCs w:val="21"/>
              </w:rPr>
              <w:t>)</w:t>
            </w:r>
          </w:p>
        </w:tc>
        <w:tc>
          <w:tcPr>
            <w:tcW w:w="9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治理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措施</w:t>
            </w:r>
          </w:p>
        </w:tc>
        <w:tc>
          <w:tcPr>
            <w:tcW w:w="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排气筒</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高度(m)</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浓度</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(mg/m</w:t>
            </w:r>
            <w:r>
              <w:rPr>
                <w:rFonts w:hint="default" w:ascii="Times New Roman" w:hAnsi="Times New Roman" w:eastAsia="宋体" w:cs="Times New Roman"/>
                <w:b w:val="0"/>
                <w:bCs w:val="0"/>
                <w:color w:val="auto"/>
                <w:spacing w:val="-20"/>
                <w:kern w:val="2"/>
                <w:sz w:val="21"/>
                <w:szCs w:val="21"/>
                <w:vertAlign w:val="superscript"/>
              </w:rPr>
              <w:t>3</w:t>
            </w:r>
            <w:r>
              <w:rPr>
                <w:rFonts w:hint="default" w:ascii="Times New Roman" w:hAnsi="Times New Roman" w:eastAsia="宋体" w:cs="Times New Roman"/>
                <w:b w:val="0"/>
                <w:bCs w:val="0"/>
                <w:color w:val="auto"/>
                <w:spacing w:val="-20"/>
                <w:kern w:val="2"/>
                <w:sz w:val="21"/>
                <w:szCs w:val="21"/>
              </w:rPr>
              <w:t>)</w:t>
            </w:r>
          </w:p>
        </w:tc>
        <w:tc>
          <w:tcPr>
            <w:tcW w:w="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速率</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(kg/h)</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年排放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气</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vertAlign w:val="subscript"/>
              </w:rPr>
              <w:t>1</w:t>
            </w:r>
          </w:p>
        </w:tc>
        <w:tc>
          <w:tcPr>
            <w:tcW w:w="1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含盐酸雾废气</w:t>
            </w:r>
          </w:p>
        </w:tc>
        <w:tc>
          <w:tcPr>
            <w:tcW w:w="76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2400</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氯化氢</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183</w:t>
            </w:r>
          </w:p>
        </w:tc>
        <w:tc>
          <w:tcPr>
            <w:tcW w:w="91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碱液洗涤塔</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15</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40</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0.0</w:t>
            </w:r>
            <w:r>
              <w:rPr>
                <w:rFonts w:hint="default" w:ascii="Times New Roman" w:hAnsi="Times New Roman" w:eastAsia="宋体" w:cs="Times New Roman"/>
                <w:b w:val="0"/>
                <w:bCs w:val="0"/>
                <w:color w:val="auto"/>
                <w:spacing w:val="-20"/>
                <w:kern w:val="2"/>
                <w:sz w:val="21"/>
                <w:szCs w:val="21"/>
                <w:lang w:val="en-US" w:eastAsia="zh-CN"/>
              </w:rPr>
              <w:t>96</w:t>
            </w:r>
          </w:p>
        </w:tc>
        <w:tc>
          <w:tcPr>
            <w:tcW w:w="12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0.691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vertAlign w:val="subscript"/>
              </w:rPr>
              <w:t>2</w:t>
            </w:r>
          </w:p>
        </w:tc>
        <w:tc>
          <w:tcPr>
            <w:tcW w:w="1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w:t>
            </w:r>
            <w:r>
              <w:rPr>
                <w:rFonts w:hint="default" w:ascii="Times New Roman" w:hAnsi="Times New Roman" w:eastAsia="宋体" w:cs="Times New Roman"/>
                <w:b w:val="0"/>
                <w:bCs w:val="0"/>
                <w:color w:val="auto"/>
                <w:spacing w:val="-20"/>
                <w:kern w:val="2"/>
                <w:sz w:val="21"/>
                <w:szCs w:val="21"/>
                <w:lang w:eastAsia="zh-CN"/>
              </w:rPr>
              <w:t>铬</w:t>
            </w:r>
            <w:r>
              <w:rPr>
                <w:rFonts w:hint="default" w:ascii="Times New Roman" w:hAnsi="Times New Roman" w:eastAsia="宋体" w:cs="Times New Roman"/>
                <w:b w:val="0"/>
                <w:bCs w:val="0"/>
                <w:color w:val="auto"/>
                <w:spacing w:val="-20"/>
                <w:kern w:val="2"/>
                <w:sz w:val="21"/>
                <w:szCs w:val="21"/>
              </w:rPr>
              <w:t>酸雾废气</w:t>
            </w:r>
          </w:p>
        </w:tc>
        <w:tc>
          <w:tcPr>
            <w:tcW w:w="76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3000</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lang w:eastAsia="zh-CN"/>
              </w:rPr>
              <w:t>铬</w:t>
            </w:r>
            <w:r>
              <w:rPr>
                <w:rFonts w:hint="default" w:ascii="Times New Roman" w:hAnsi="Times New Roman" w:eastAsia="宋体" w:cs="Times New Roman"/>
                <w:b w:val="0"/>
                <w:bCs w:val="0"/>
                <w:color w:val="auto"/>
                <w:spacing w:val="-20"/>
                <w:kern w:val="2"/>
                <w:sz w:val="21"/>
                <w:szCs w:val="21"/>
              </w:rPr>
              <w:t>酸雾</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0.432</w:t>
            </w:r>
          </w:p>
        </w:tc>
        <w:tc>
          <w:tcPr>
            <w:tcW w:w="91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碱液洗涤塔</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15</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0.12</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 xml:space="preserve">0.36 </w:t>
            </w:r>
            <w:r>
              <w:rPr>
                <w:rFonts w:hint="default" w:ascii="Times New Roman" w:hAnsi="Times New Roman" w:eastAsia="宋体" w:cs="Times New Roman"/>
                <w:b w:val="0"/>
                <w:bCs w:val="0"/>
                <w:color w:val="auto"/>
                <w:spacing w:val="-20"/>
                <w:kern w:val="2"/>
                <w:sz w:val="21"/>
                <w:szCs w:val="21"/>
              </w:rPr>
              <w:t>g/h</w:t>
            </w:r>
          </w:p>
        </w:tc>
        <w:tc>
          <w:tcPr>
            <w:tcW w:w="12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2.59kg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vertAlign w:val="subscript"/>
              </w:rPr>
              <w:t>3</w:t>
            </w:r>
          </w:p>
        </w:tc>
        <w:tc>
          <w:tcPr>
            <w:tcW w:w="1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车间无组织</w:t>
            </w:r>
          </w:p>
        </w:tc>
        <w:tc>
          <w:tcPr>
            <w:tcW w:w="76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氯化氢</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eastAsia="zh-CN"/>
              </w:rPr>
              <w:t>铬</w:t>
            </w:r>
            <w:r>
              <w:rPr>
                <w:rFonts w:hint="default" w:ascii="Times New Roman" w:hAnsi="Times New Roman" w:eastAsia="宋体" w:cs="Times New Roman"/>
                <w:b w:val="0"/>
                <w:bCs w:val="0"/>
                <w:color w:val="auto"/>
                <w:spacing w:val="-20"/>
                <w:kern w:val="2"/>
                <w:sz w:val="21"/>
                <w:szCs w:val="21"/>
              </w:rPr>
              <w:t>酸雾</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91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rPr>
              <w:t>—</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lang w:val="en-US" w:eastAsia="zh-CN" w:bidi="ar-SA"/>
              </w:rPr>
              <w:t>0.045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lang w:val="en-US" w:eastAsia="zh-CN" w:bidi="ar-SA"/>
              </w:rPr>
              <w:t>0.288</w:t>
            </w:r>
            <w:r>
              <w:rPr>
                <w:rFonts w:hint="default" w:ascii="Times New Roman" w:hAnsi="Times New Roman" w:eastAsia="宋体" w:cs="Times New Roman"/>
                <w:b w:val="0"/>
                <w:bCs w:val="0"/>
                <w:color w:val="auto"/>
                <w:spacing w:val="-20"/>
                <w:kern w:val="2"/>
                <w:sz w:val="21"/>
                <w:szCs w:val="21"/>
              </w:rPr>
              <w:t>g/h</w:t>
            </w:r>
          </w:p>
        </w:tc>
        <w:tc>
          <w:tcPr>
            <w:tcW w:w="12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lang w:val="en-US" w:eastAsia="zh-CN" w:bidi="ar-SA"/>
              </w:rPr>
              <w:t>0.324</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bidi="ar-SA"/>
              </w:rPr>
            </w:pPr>
            <w:r>
              <w:rPr>
                <w:rFonts w:hint="default" w:ascii="Times New Roman" w:hAnsi="Times New Roman" w:eastAsia="宋体" w:cs="Times New Roman"/>
                <w:b w:val="0"/>
                <w:bCs w:val="0"/>
                <w:color w:val="auto"/>
                <w:spacing w:val="-20"/>
                <w:kern w:val="2"/>
                <w:sz w:val="21"/>
                <w:szCs w:val="21"/>
                <w:lang w:val="en-US" w:eastAsia="zh-CN" w:bidi="ar-SA"/>
              </w:rPr>
              <w:t xml:space="preserve">2.074 </w:t>
            </w: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lang w:val="en-US" w:eastAsia="zh-CN"/>
              </w:rPr>
              <w:t xml:space="preserve"> </w:t>
            </w:r>
            <w:r>
              <w:rPr>
                <w:rFonts w:hint="default" w:ascii="Times New Roman" w:hAnsi="Times New Roman" w:eastAsia="宋体" w:cs="Times New Roman"/>
                <w:b w:val="0"/>
                <w:bCs w:val="0"/>
                <w:color w:val="auto"/>
                <w:spacing w:val="-20"/>
                <w:kern w:val="2"/>
                <w:sz w:val="21"/>
                <w:szCs w:val="21"/>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G</w:t>
            </w:r>
            <w:r>
              <w:rPr>
                <w:rFonts w:hint="default" w:ascii="Times New Roman" w:hAnsi="Times New Roman" w:eastAsia="宋体" w:cs="Times New Roman"/>
                <w:b w:val="0"/>
                <w:bCs w:val="0"/>
                <w:color w:val="auto"/>
                <w:spacing w:val="-20"/>
                <w:kern w:val="2"/>
                <w:sz w:val="21"/>
                <w:szCs w:val="21"/>
                <w:vertAlign w:val="subscript"/>
              </w:rPr>
              <w:t>4</w:t>
            </w:r>
          </w:p>
        </w:tc>
        <w:tc>
          <w:tcPr>
            <w:tcW w:w="1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食堂油烟</w:t>
            </w:r>
          </w:p>
        </w:tc>
        <w:tc>
          <w:tcPr>
            <w:tcW w:w="76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6000</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油烟</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13.4</w:t>
            </w:r>
          </w:p>
        </w:tc>
        <w:tc>
          <w:tcPr>
            <w:tcW w:w="91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油烟净化器</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8</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2.0</w:t>
            </w:r>
          </w:p>
        </w:tc>
        <w:tc>
          <w:tcPr>
            <w:tcW w:w="68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0.012</w:t>
            </w:r>
          </w:p>
        </w:tc>
        <w:tc>
          <w:tcPr>
            <w:tcW w:w="12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类</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别</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号</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污染源</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名称</w:t>
            </w:r>
          </w:p>
        </w:tc>
        <w:tc>
          <w:tcPr>
            <w:tcW w:w="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w:t>
            </w:r>
            <w:r>
              <w:rPr>
                <w:rFonts w:hint="default" w:ascii="Times New Roman" w:hAnsi="Times New Roman" w:eastAsia="宋体" w:cs="Times New Roman"/>
                <w:b w:val="0"/>
                <w:bCs w:val="0"/>
                <w:color w:val="auto"/>
                <w:spacing w:val="-20"/>
                <w:kern w:val="2"/>
                <w:sz w:val="21"/>
                <w:szCs w:val="21"/>
                <w:vertAlign w:val="superscript"/>
              </w:rPr>
              <w:t>3</w:t>
            </w:r>
            <w:r>
              <w:rPr>
                <w:rFonts w:hint="default" w:ascii="Times New Roman" w:hAnsi="Times New Roman" w:eastAsia="宋体" w:cs="Times New Roman"/>
                <w:b w:val="0"/>
                <w:bCs w:val="0"/>
                <w:color w:val="auto"/>
                <w:spacing w:val="-20"/>
                <w:kern w:val="2"/>
                <w:sz w:val="21"/>
                <w:szCs w:val="21"/>
              </w:rPr>
              <w:t>/d)</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污染物</w:t>
            </w:r>
          </w:p>
        </w:tc>
        <w:tc>
          <w:tcPr>
            <w:tcW w:w="78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产生浓度</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(mg/L)</w:t>
            </w:r>
          </w:p>
        </w:tc>
        <w:tc>
          <w:tcPr>
            <w:tcW w:w="1594"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治理措施</w:t>
            </w: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排放浓度</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(mg/L)</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污染物排</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水</w:t>
            </w:r>
          </w:p>
        </w:tc>
        <w:tc>
          <w:tcPr>
            <w:tcW w:w="36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W</w:t>
            </w:r>
            <w:r>
              <w:rPr>
                <w:rFonts w:hint="default" w:ascii="Times New Roman" w:hAnsi="Times New Roman" w:eastAsia="宋体" w:cs="Times New Roman"/>
                <w:b w:val="0"/>
                <w:bCs w:val="0"/>
                <w:color w:val="auto"/>
                <w:spacing w:val="-20"/>
                <w:kern w:val="2"/>
                <w:sz w:val="21"/>
                <w:szCs w:val="21"/>
                <w:vertAlign w:val="subscript"/>
              </w:rPr>
              <w:t>1</w:t>
            </w:r>
          </w:p>
        </w:tc>
        <w:tc>
          <w:tcPr>
            <w:tcW w:w="107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酸碱废水</w:t>
            </w:r>
          </w:p>
        </w:tc>
        <w:tc>
          <w:tcPr>
            <w:tcW w:w="7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65</w:t>
            </w:r>
          </w:p>
        </w:tc>
        <w:tc>
          <w:tcPr>
            <w:tcW w:w="703"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pH</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COD</w:t>
            </w:r>
          </w:p>
        </w:tc>
        <w:tc>
          <w:tcPr>
            <w:tcW w:w="78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6～9</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283</w:t>
            </w:r>
          </w:p>
        </w:tc>
        <w:tc>
          <w:tcPr>
            <w:tcW w:w="91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酸碱废液</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处理设施</w:t>
            </w:r>
          </w:p>
        </w:tc>
        <w:tc>
          <w:tcPr>
            <w:tcW w:w="684"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综合废水</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处理站</w:t>
            </w:r>
          </w:p>
        </w:tc>
        <w:tc>
          <w:tcPr>
            <w:tcW w:w="1387" w:type="dxa"/>
            <w:gridSpan w:val="2"/>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SS</w:t>
            </w:r>
            <w:r>
              <w:rPr>
                <w:rFonts w:hint="default" w:ascii="Times New Roman" w:hAnsi="Times New Roman" w:eastAsia="宋体" w:cs="Times New Roman"/>
                <w:b w:val="0"/>
                <w:bCs w:val="0"/>
                <w:color w:val="auto"/>
                <w:spacing w:val="-20"/>
                <w:kern w:val="2"/>
                <w:sz w:val="21"/>
                <w:szCs w:val="21"/>
                <w:lang w:eastAsia="zh-CN"/>
              </w:rPr>
              <w:t>：</w:t>
            </w:r>
            <w:r>
              <w:rPr>
                <w:rFonts w:hint="default" w:ascii="Times New Roman" w:hAnsi="Times New Roman" w:eastAsia="宋体" w:cs="Times New Roman"/>
                <w:b w:val="0"/>
                <w:bCs w:val="0"/>
                <w:color w:val="auto"/>
                <w:spacing w:val="-20"/>
                <w:kern w:val="2"/>
                <w:sz w:val="21"/>
                <w:szCs w:val="21"/>
                <w:lang w:val="en-US" w:eastAsia="zh-CN"/>
              </w:rPr>
              <w:t>8</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COD</w:t>
            </w:r>
            <w:r>
              <w:rPr>
                <w:rFonts w:hint="default" w:ascii="Times New Roman" w:hAnsi="Times New Roman" w:eastAsia="宋体" w:cs="Times New Roman"/>
                <w:b w:val="0"/>
                <w:bCs w:val="0"/>
                <w:color w:val="auto"/>
                <w:spacing w:val="-20"/>
                <w:kern w:val="2"/>
                <w:sz w:val="21"/>
                <w:szCs w:val="21"/>
                <w:lang w:val="en-US" w:eastAsia="zh-CN"/>
              </w:rPr>
              <w:t>:35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NH</w:t>
            </w:r>
            <w:r>
              <w:rPr>
                <w:rFonts w:hint="default" w:ascii="Times New Roman" w:hAnsi="Times New Roman" w:eastAsia="宋体" w:cs="Times New Roman"/>
                <w:b w:val="0"/>
                <w:bCs w:val="0"/>
                <w:color w:val="auto"/>
                <w:spacing w:val="-20"/>
                <w:kern w:val="2"/>
                <w:sz w:val="21"/>
                <w:szCs w:val="21"/>
                <w:vertAlign w:val="subscript"/>
              </w:rPr>
              <w:t>3</w:t>
            </w:r>
            <w:r>
              <w:rPr>
                <w:rFonts w:hint="default" w:ascii="Times New Roman" w:hAnsi="Times New Roman" w:eastAsia="宋体" w:cs="Times New Roman"/>
                <w:b w:val="0"/>
                <w:bCs w:val="0"/>
                <w:color w:val="auto"/>
                <w:spacing w:val="-20"/>
                <w:kern w:val="2"/>
                <w:sz w:val="21"/>
                <w:szCs w:val="21"/>
              </w:rPr>
              <w:t>-N</w:t>
            </w:r>
            <w:r>
              <w:rPr>
                <w:rFonts w:hint="default" w:ascii="Times New Roman" w:hAnsi="Times New Roman" w:eastAsia="宋体" w:cs="Times New Roman"/>
                <w:b w:val="0"/>
                <w:bCs w:val="0"/>
                <w:color w:val="auto"/>
                <w:spacing w:val="-20"/>
                <w:kern w:val="2"/>
                <w:sz w:val="21"/>
                <w:szCs w:val="21"/>
                <w:lang w:val="en-US" w:eastAsia="zh-CN"/>
              </w:rPr>
              <w:t>:0.4</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总铬</w:t>
            </w:r>
            <w:r>
              <w:rPr>
                <w:rFonts w:hint="default" w:ascii="Times New Roman" w:hAnsi="Times New Roman" w:eastAsia="宋体" w:cs="Times New Roman"/>
                <w:b w:val="0"/>
                <w:bCs w:val="0"/>
                <w:color w:val="auto"/>
                <w:spacing w:val="-20"/>
                <w:kern w:val="2"/>
                <w:sz w:val="21"/>
                <w:szCs w:val="21"/>
                <w:lang w:val="en-US" w:eastAsia="zh-CN"/>
              </w:rPr>
              <w:t>:0.07</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p>
        </w:tc>
        <w:tc>
          <w:tcPr>
            <w:tcW w:w="1229"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0.</w:t>
            </w:r>
            <w:r>
              <w:rPr>
                <w:rFonts w:hint="default" w:ascii="Times New Roman" w:hAnsi="Times New Roman" w:eastAsia="宋体" w:cs="Times New Roman"/>
                <w:b w:val="0"/>
                <w:bCs w:val="0"/>
                <w:color w:val="auto"/>
                <w:spacing w:val="-20"/>
                <w:kern w:val="2"/>
                <w:sz w:val="21"/>
                <w:szCs w:val="21"/>
                <w:lang w:val="en-US" w:eastAsia="zh-CN"/>
              </w:rPr>
              <w:t>300</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1.313</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0.</w:t>
            </w:r>
            <w:r>
              <w:rPr>
                <w:rFonts w:hint="default" w:ascii="Times New Roman" w:hAnsi="Times New Roman" w:eastAsia="宋体" w:cs="Times New Roman"/>
                <w:b w:val="0"/>
                <w:bCs w:val="0"/>
                <w:color w:val="auto"/>
                <w:spacing w:val="-20"/>
                <w:kern w:val="2"/>
                <w:sz w:val="21"/>
                <w:szCs w:val="21"/>
                <w:lang w:val="en-US" w:eastAsia="zh-CN"/>
              </w:rPr>
              <w:t>015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0.263kg</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W</w:t>
            </w:r>
            <w:r>
              <w:rPr>
                <w:rFonts w:hint="default" w:ascii="Times New Roman" w:hAnsi="Times New Roman" w:eastAsia="宋体" w:cs="Times New Roman"/>
                <w:b w:val="0"/>
                <w:bCs w:val="0"/>
                <w:color w:val="auto"/>
                <w:spacing w:val="-20"/>
                <w:kern w:val="2"/>
                <w:sz w:val="21"/>
                <w:szCs w:val="21"/>
                <w:vertAlign w:val="subscript"/>
              </w:rPr>
              <w:t>2</w:t>
            </w:r>
          </w:p>
        </w:tc>
        <w:tc>
          <w:tcPr>
            <w:tcW w:w="107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含重金</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属废水</w:t>
            </w:r>
          </w:p>
        </w:tc>
        <w:tc>
          <w:tcPr>
            <w:tcW w:w="7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40</w:t>
            </w:r>
          </w:p>
        </w:tc>
        <w:tc>
          <w:tcPr>
            <w:tcW w:w="703"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SS</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COD</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总锌</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总铬</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六价铬</w:t>
            </w:r>
          </w:p>
        </w:tc>
        <w:tc>
          <w:tcPr>
            <w:tcW w:w="78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20</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31</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1.3</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8.0</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4.4</w:t>
            </w:r>
          </w:p>
        </w:tc>
        <w:tc>
          <w:tcPr>
            <w:tcW w:w="91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含铬废水</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处理设施</w:t>
            </w:r>
          </w:p>
        </w:tc>
        <w:tc>
          <w:tcPr>
            <w:tcW w:w="6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W</w:t>
            </w:r>
            <w:r>
              <w:rPr>
                <w:rFonts w:hint="default" w:ascii="Times New Roman" w:hAnsi="Times New Roman" w:eastAsia="宋体" w:cs="Times New Roman"/>
                <w:b w:val="0"/>
                <w:bCs w:val="0"/>
                <w:color w:val="auto"/>
                <w:spacing w:val="-20"/>
                <w:kern w:val="2"/>
                <w:sz w:val="21"/>
                <w:szCs w:val="21"/>
                <w:vertAlign w:val="subscript"/>
              </w:rPr>
              <w:t>3</w:t>
            </w:r>
          </w:p>
        </w:tc>
        <w:tc>
          <w:tcPr>
            <w:tcW w:w="107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其他</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废水</w:t>
            </w:r>
          </w:p>
        </w:tc>
        <w:tc>
          <w:tcPr>
            <w:tcW w:w="7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20</w:t>
            </w:r>
          </w:p>
        </w:tc>
        <w:tc>
          <w:tcPr>
            <w:tcW w:w="703"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SS</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COD</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BOD5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NH</w:t>
            </w:r>
            <w:r>
              <w:rPr>
                <w:rFonts w:hint="default" w:ascii="Times New Roman" w:hAnsi="Times New Roman" w:eastAsia="宋体" w:cs="Times New Roman"/>
                <w:b w:val="0"/>
                <w:bCs w:val="0"/>
                <w:color w:val="auto"/>
                <w:spacing w:val="-20"/>
                <w:kern w:val="2"/>
                <w:sz w:val="21"/>
                <w:szCs w:val="21"/>
                <w:vertAlign w:val="subscript"/>
              </w:rPr>
              <w:t>3</w:t>
            </w:r>
            <w:r>
              <w:rPr>
                <w:rFonts w:hint="default" w:ascii="Times New Roman" w:hAnsi="Times New Roman" w:eastAsia="宋体" w:cs="Times New Roman"/>
                <w:b w:val="0"/>
                <w:bCs w:val="0"/>
                <w:color w:val="auto"/>
                <w:spacing w:val="-20"/>
                <w:kern w:val="2"/>
                <w:sz w:val="21"/>
                <w:szCs w:val="21"/>
              </w:rPr>
              <w:t>-N</w:t>
            </w:r>
          </w:p>
        </w:tc>
        <w:tc>
          <w:tcPr>
            <w:tcW w:w="78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291</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435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343</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34.1</w:t>
            </w:r>
          </w:p>
        </w:tc>
        <w:tc>
          <w:tcPr>
            <w:tcW w:w="91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w:t>
            </w:r>
          </w:p>
        </w:tc>
        <w:tc>
          <w:tcPr>
            <w:tcW w:w="684"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类</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别</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号</w:t>
            </w:r>
          </w:p>
        </w:tc>
        <w:tc>
          <w:tcPr>
            <w:tcW w:w="18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污染源名称</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产生量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(t/a)</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类别</w:t>
            </w:r>
          </w:p>
        </w:tc>
        <w:tc>
          <w:tcPr>
            <w:tcW w:w="159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处置措施</w:t>
            </w: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排放量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(t/a)</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固</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w:t>
            </w: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w:t>
            </w:r>
            <w:r>
              <w:rPr>
                <w:rFonts w:hint="default" w:ascii="Times New Roman" w:hAnsi="Times New Roman" w:eastAsia="宋体" w:cs="Times New Roman"/>
                <w:b w:val="0"/>
                <w:bCs w:val="0"/>
                <w:color w:val="auto"/>
                <w:spacing w:val="-20"/>
                <w:kern w:val="2"/>
                <w:sz w:val="21"/>
                <w:szCs w:val="21"/>
                <w:vertAlign w:val="subscript"/>
              </w:rPr>
              <w:t>1</w:t>
            </w:r>
          </w:p>
        </w:tc>
        <w:tc>
          <w:tcPr>
            <w:tcW w:w="18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含铬污泥</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20</w:t>
            </w:r>
          </w:p>
        </w:tc>
        <w:tc>
          <w:tcPr>
            <w:tcW w:w="7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危险</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废物</w:t>
            </w:r>
          </w:p>
        </w:tc>
        <w:tc>
          <w:tcPr>
            <w:tcW w:w="1594"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送河北金隅红树</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林</w:t>
            </w:r>
            <w:r>
              <w:rPr>
                <w:rFonts w:hint="default" w:ascii="Times New Roman" w:hAnsi="Times New Roman" w:eastAsia="宋体" w:cs="Times New Roman"/>
                <w:b w:val="0"/>
                <w:bCs w:val="0"/>
                <w:color w:val="auto"/>
                <w:spacing w:val="-20"/>
                <w:kern w:val="2"/>
                <w:sz w:val="21"/>
                <w:szCs w:val="21"/>
                <w:lang w:eastAsia="zh-CN"/>
              </w:rPr>
              <w:t>和石家庄翔宇</w:t>
            </w:r>
            <w:r>
              <w:rPr>
                <w:rFonts w:hint="default" w:ascii="Times New Roman" w:hAnsi="Times New Roman" w:eastAsia="宋体" w:cs="Times New Roman"/>
                <w:b w:val="0"/>
                <w:bCs w:val="0"/>
                <w:color w:val="auto"/>
                <w:spacing w:val="-20"/>
                <w:kern w:val="2"/>
                <w:sz w:val="21"/>
                <w:szCs w:val="21"/>
              </w:rPr>
              <w:t>环保公司处置</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w:t>
            </w:r>
          </w:p>
        </w:tc>
        <w:tc>
          <w:tcPr>
            <w:tcW w:w="122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全部综合利</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用或妥善处理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w:t>
            </w:r>
            <w:r>
              <w:rPr>
                <w:rFonts w:hint="default" w:ascii="Times New Roman" w:hAnsi="Times New Roman" w:eastAsia="宋体" w:cs="Times New Roman"/>
                <w:b w:val="0"/>
                <w:bCs w:val="0"/>
                <w:color w:val="auto"/>
                <w:spacing w:val="-20"/>
                <w:kern w:val="2"/>
                <w:sz w:val="21"/>
                <w:szCs w:val="21"/>
                <w:vertAlign w:val="subscript"/>
              </w:rPr>
              <w:t>2</w:t>
            </w:r>
          </w:p>
        </w:tc>
        <w:tc>
          <w:tcPr>
            <w:tcW w:w="1838" w:type="dxa"/>
            <w:gridSpan w:val="2"/>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eastAsia="zh-CN"/>
              </w:rPr>
              <w:t>电镀残渣</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val="en-US" w:eastAsia="zh-CN"/>
              </w:rPr>
              <w:t>3</w:t>
            </w:r>
          </w:p>
        </w:tc>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59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w:t>
            </w: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81" w:hRule="atLeast"/>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S</w:t>
            </w:r>
            <w:r>
              <w:rPr>
                <w:rFonts w:hint="default" w:ascii="Times New Roman" w:hAnsi="Times New Roman" w:eastAsia="宋体" w:cs="Times New Roman"/>
                <w:b w:val="0"/>
                <w:bCs w:val="0"/>
                <w:color w:val="auto"/>
                <w:spacing w:val="-20"/>
                <w:kern w:val="2"/>
                <w:sz w:val="21"/>
                <w:szCs w:val="21"/>
                <w:vertAlign w:val="subscript"/>
              </w:rPr>
              <w:t>3</w:t>
            </w:r>
          </w:p>
        </w:tc>
        <w:tc>
          <w:tcPr>
            <w:tcW w:w="1838" w:type="dxa"/>
            <w:gridSpan w:val="2"/>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eastAsia="zh-CN"/>
              </w:rPr>
              <w:t>废水处理污泥</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lang w:val="en-US" w:eastAsia="zh-CN"/>
              </w:rPr>
              <w:t>1</w:t>
            </w:r>
            <w:r>
              <w:rPr>
                <w:rFonts w:hint="default" w:ascii="Times New Roman" w:hAnsi="Times New Roman" w:eastAsia="宋体" w:cs="Times New Roman"/>
                <w:b w:val="0"/>
                <w:bCs w:val="0"/>
                <w:color w:val="auto"/>
                <w:spacing w:val="-20"/>
                <w:kern w:val="2"/>
                <w:sz w:val="21"/>
                <w:szCs w:val="21"/>
              </w:rPr>
              <w:t>2</w:t>
            </w:r>
          </w:p>
        </w:tc>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59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w:t>
            </w: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2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c>
          <w:tcPr>
            <w:tcW w:w="3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rPr>
              <w:t>S</w:t>
            </w:r>
            <w:r>
              <w:rPr>
                <w:rFonts w:hint="default" w:ascii="Times New Roman" w:hAnsi="Times New Roman" w:eastAsia="宋体" w:cs="Times New Roman"/>
                <w:b w:val="0"/>
                <w:bCs w:val="0"/>
                <w:color w:val="auto"/>
                <w:spacing w:val="-20"/>
                <w:kern w:val="2"/>
                <w:sz w:val="21"/>
                <w:szCs w:val="21"/>
                <w:vertAlign w:val="subscript"/>
                <w:lang w:val="en-US" w:eastAsia="zh-CN"/>
              </w:rPr>
              <w:t>4</w:t>
            </w:r>
          </w:p>
        </w:tc>
        <w:tc>
          <w:tcPr>
            <w:tcW w:w="1838" w:type="dxa"/>
            <w:gridSpan w:val="2"/>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eastAsia="zh-CN"/>
              </w:rPr>
              <w:t>生活垃圾</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2</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eastAsia="zh-CN"/>
              </w:rPr>
            </w:pPr>
            <w:r>
              <w:rPr>
                <w:rFonts w:hint="default" w:ascii="Times New Roman" w:hAnsi="Times New Roman" w:eastAsia="宋体" w:cs="Times New Roman"/>
                <w:b w:val="0"/>
                <w:bCs w:val="0"/>
                <w:color w:val="auto"/>
                <w:spacing w:val="-20"/>
                <w:kern w:val="2"/>
                <w:sz w:val="21"/>
                <w:szCs w:val="21"/>
                <w:lang w:eastAsia="zh-CN"/>
              </w:rPr>
              <w:t>一般固废</w:t>
            </w:r>
          </w:p>
        </w:tc>
        <w:tc>
          <w:tcPr>
            <w:tcW w:w="1594"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由</w:t>
            </w:r>
            <w:r>
              <w:rPr>
                <w:rFonts w:hint="default" w:ascii="Times New Roman" w:hAnsi="Times New Roman" w:eastAsia="宋体" w:cs="Times New Roman"/>
                <w:b w:val="0"/>
                <w:bCs w:val="0"/>
                <w:color w:val="auto"/>
                <w:spacing w:val="-20"/>
                <w:kern w:val="2"/>
                <w:sz w:val="21"/>
                <w:szCs w:val="21"/>
                <w:lang w:eastAsia="zh-CN"/>
              </w:rPr>
              <w:t>任</w:t>
            </w:r>
            <w:r>
              <w:rPr>
                <w:rFonts w:hint="default" w:ascii="Times New Roman" w:hAnsi="Times New Roman" w:eastAsia="宋体" w:cs="Times New Roman"/>
                <w:b w:val="0"/>
                <w:bCs w:val="0"/>
                <w:color w:val="auto"/>
                <w:spacing w:val="-20"/>
                <w:kern w:val="2"/>
                <w:sz w:val="21"/>
                <w:szCs w:val="21"/>
              </w:rPr>
              <w:t>县环卫</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r>
              <w:rPr>
                <w:rFonts w:hint="default" w:ascii="Times New Roman" w:hAnsi="Times New Roman" w:eastAsia="宋体" w:cs="Times New Roman"/>
                <w:b w:val="0"/>
                <w:bCs w:val="0"/>
                <w:color w:val="auto"/>
                <w:spacing w:val="-20"/>
                <w:kern w:val="2"/>
                <w:sz w:val="21"/>
                <w:szCs w:val="21"/>
              </w:rPr>
              <w:t>部门负责清运</w:t>
            </w:r>
          </w:p>
        </w:tc>
        <w:tc>
          <w:tcPr>
            <w:tcW w:w="13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lang w:val="en-US" w:eastAsia="zh-CN"/>
              </w:rPr>
            </w:pPr>
            <w:r>
              <w:rPr>
                <w:rFonts w:hint="default" w:ascii="Times New Roman" w:hAnsi="Times New Roman" w:eastAsia="宋体" w:cs="Times New Roman"/>
                <w:b w:val="0"/>
                <w:bCs w:val="0"/>
                <w:color w:val="auto"/>
                <w:spacing w:val="-20"/>
                <w:kern w:val="2"/>
                <w:sz w:val="21"/>
                <w:szCs w:val="21"/>
                <w:lang w:val="en-US" w:eastAsia="zh-CN"/>
              </w:rPr>
              <w:t>0</w:t>
            </w:r>
          </w:p>
        </w:tc>
        <w:tc>
          <w:tcPr>
            <w:tcW w:w="12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pacing w:val="-20"/>
                <w:kern w:val="2"/>
                <w:sz w:val="21"/>
                <w:szCs w:val="21"/>
              </w:rPr>
            </w:pPr>
          </w:p>
        </w:tc>
      </w:tr>
    </w:tbl>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74" w:name="_Toc2965"/>
      <w:r>
        <w:rPr>
          <w:rFonts w:hint="default" w:ascii="Times New Roman" w:hAnsi="Times New Roman" w:eastAsia="宋体" w:cs="Times New Roman"/>
          <w:color w:val="auto"/>
          <w:sz w:val="28"/>
          <w:szCs w:val="28"/>
          <w:lang w:val="en-US" w:eastAsia="zh-CN"/>
        </w:rPr>
        <w:t>3.3 污水处理</w:t>
      </w:r>
      <w:bookmarkEnd w:id="74"/>
    </w:p>
    <w:p>
      <w:pPr>
        <w:pageBreakBefore w:val="0"/>
        <w:kinsoku/>
        <w:wordWrap/>
        <w:overflowPunct/>
        <w:topLinePunct w:val="0"/>
        <w:bidi w:val="0"/>
        <w:spacing w:line="360" w:lineRule="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邢台兴安液压机械有限公司现有工程废水主要为电镀铬工序费废水、电镀铁工序废水、酸雾净化废水、车间地面冲洗废水以及职工生活污水等。污水中主要污水物质为pH、COD、SS、石油类、铁以及六价铬。</w:t>
      </w:r>
    </w:p>
    <w:p>
      <w:pPr>
        <w:pageBreakBefore w:val="0"/>
        <w:numPr>
          <w:ilvl w:val="0"/>
          <w:numId w:val="3"/>
        </w:numPr>
        <w:kinsoku/>
        <w:wordWrap/>
        <w:overflowPunct/>
        <w:topLinePunct w:val="0"/>
        <w:bidi w:val="0"/>
        <w:spacing w:line="360" w:lineRule="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含重金属离子处理设施</w:t>
      </w:r>
    </w:p>
    <w:p>
      <w:pPr>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含重金属离子废水主要由镀铬车间产生，处理设施工艺流程见图3.3-1。</w:t>
      </w:r>
    </w:p>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color w:val="auto"/>
        </w:rPr>
        <w:drawing>
          <wp:inline distT="0" distB="0" distL="114300" distR="114300">
            <wp:extent cx="5273040" cy="1866900"/>
            <wp:effectExtent l="0" t="0" r="3810"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50"/>
                    <a:stretch>
                      <a:fillRect/>
                    </a:stretch>
                  </pic:blipFill>
                  <pic:spPr>
                    <a:xfrm>
                      <a:off x="0" y="0"/>
                      <a:ext cx="5273040" cy="1866900"/>
                    </a:xfrm>
                    <a:prstGeom prst="rect">
                      <a:avLst/>
                    </a:prstGeom>
                    <a:noFill/>
                    <a:ln>
                      <a:noFill/>
                    </a:ln>
                  </pic:spPr>
                </pic:pic>
              </a:graphicData>
            </a:graphic>
          </wp:inline>
        </w:drawing>
      </w:r>
      <w:r>
        <w:rPr>
          <w:rFonts w:hint="default" w:ascii="Times New Roman" w:hAnsi="Times New Roman" w:eastAsia="宋体" w:cs="Times New Roman"/>
          <w:b/>
          <w:bCs/>
          <w:color w:val="auto"/>
          <w:kern w:val="0"/>
          <w:sz w:val="24"/>
          <w:szCs w:val="24"/>
          <w:lang w:val="en-US" w:eastAsia="zh-CN" w:bidi="ar"/>
        </w:rPr>
        <w:t>图3.3-1  含铬废水处理工艺流程图</w:t>
      </w:r>
    </w:p>
    <w:p>
      <w:pPr>
        <w:pageBreakBefore w:val="0"/>
        <w:numPr>
          <w:ilvl w:val="0"/>
          <w:numId w:val="3"/>
        </w:numPr>
        <w:kinsoku/>
        <w:wordWrap/>
        <w:overflowPunct/>
        <w:topLinePunct w:val="0"/>
        <w:bidi w:val="0"/>
        <w:spacing w:line="360" w:lineRule="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综合污水处理站</w:t>
      </w:r>
    </w:p>
    <w:p>
      <w:pPr>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合污水处理设施处理的废水主要是酸碱废水、含铁废水。其中酸碱废水主要由前处理工序除油、酸洗过程也能够产生。处理工艺主要“还原+调节+中和+沉淀+过滤”。产生的上清液送入生化车间处理，沉淀池产生的污泥压滤后填埋。处理设施工艺流程见图3.3-2。</w:t>
      </w:r>
    </w:p>
    <w:p>
      <w:pPr>
        <w:pStyle w:val="2"/>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rPr>
        <w:drawing>
          <wp:inline distT="0" distB="0" distL="114300" distR="114300">
            <wp:extent cx="5272405" cy="2107565"/>
            <wp:effectExtent l="0" t="0" r="4445" b="6985"/>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9"/>
                    <pic:cNvPicPr>
                      <a:picLocks noChangeAspect="1"/>
                    </pic:cNvPicPr>
                  </pic:nvPicPr>
                  <pic:blipFill>
                    <a:blip r:embed="rId51"/>
                    <a:stretch>
                      <a:fillRect/>
                    </a:stretch>
                  </pic:blipFill>
                  <pic:spPr>
                    <a:xfrm>
                      <a:off x="0" y="0"/>
                      <a:ext cx="5272405" cy="2107565"/>
                    </a:xfrm>
                    <a:prstGeom prst="rect">
                      <a:avLst/>
                    </a:prstGeom>
                    <a:noFill/>
                    <a:ln>
                      <a:noFill/>
                    </a:ln>
                  </pic:spPr>
                </pic:pic>
              </a:graphicData>
            </a:graphic>
          </wp:inline>
        </w:drawing>
      </w:r>
    </w:p>
    <w:p>
      <w:pPr>
        <w:pageBreakBefore w:val="0"/>
        <w:numPr>
          <w:ilvl w:val="0"/>
          <w:numId w:val="0"/>
        </w:numPr>
        <w:kinsoku/>
        <w:wordWrap/>
        <w:overflowPunct/>
        <w:topLinePunct w:val="0"/>
        <w:bidi w:val="0"/>
        <w:spacing w:line="360" w:lineRule="auto"/>
        <w:jc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图3.3-2  综合废水处理工艺流程图</w:t>
      </w:r>
    </w:p>
    <w:p>
      <w:pPr>
        <w:pageBreakBefore w:val="0"/>
        <w:numPr>
          <w:ilvl w:val="0"/>
          <w:numId w:val="3"/>
        </w:numPr>
        <w:kinsoku/>
        <w:wordWrap/>
        <w:overflowPunct/>
        <w:topLinePunct w:val="0"/>
        <w:bidi w:val="0"/>
        <w:spacing w:line="360" w:lineRule="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生化处理车间</w:t>
      </w:r>
    </w:p>
    <w:p>
      <w:pPr>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综合污水处理站处理的废水上清液与生活污水进入到生化处理车间。废水首先进入均质调节池，调节水质水量，而后利用提升泵将废水提升至水解酸化池，将难被生物降解的大分子物质转化为易被降解得小分子物质，从而改善废水的可生化性。经水解酸化的废水进入A/O反应系统，去除废水中大部分有机物，减小后期生化处理负荷。生化处理工艺流程见图3.3-3。</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color w:val="auto"/>
        </w:rPr>
        <w:drawing>
          <wp:inline distT="0" distB="0" distL="114300" distR="114300">
            <wp:extent cx="5273040" cy="3543300"/>
            <wp:effectExtent l="0" t="0" r="3810" b="0"/>
            <wp:docPr id="10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0"/>
                    <pic:cNvPicPr>
                      <a:picLocks noChangeAspect="1"/>
                    </pic:cNvPicPr>
                  </pic:nvPicPr>
                  <pic:blipFill>
                    <a:blip r:embed="rId52"/>
                    <a:stretch>
                      <a:fillRect/>
                    </a:stretch>
                  </pic:blipFill>
                  <pic:spPr>
                    <a:xfrm>
                      <a:off x="0" y="0"/>
                      <a:ext cx="5273040" cy="3543300"/>
                    </a:xfrm>
                    <a:prstGeom prst="rect">
                      <a:avLst/>
                    </a:prstGeom>
                    <a:noFill/>
                    <a:ln>
                      <a:noFill/>
                    </a:ln>
                  </pic:spPr>
                </pic:pic>
              </a:graphicData>
            </a:graphic>
          </wp:inline>
        </w:drawing>
      </w:r>
    </w:p>
    <w:p>
      <w:pPr>
        <w:pageBreakBefore w:val="0"/>
        <w:numPr>
          <w:ilvl w:val="0"/>
          <w:numId w:val="0"/>
        </w:numPr>
        <w:kinsoku/>
        <w:wordWrap/>
        <w:overflowPunct/>
        <w:topLinePunct w:val="0"/>
        <w:bidi w:val="0"/>
        <w:spacing w:line="36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图3.3-3  生化处理工艺流程图</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75" w:name="_Toc1825"/>
      <w:bookmarkStart w:id="76" w:name="_Toc30265"/>
      <w:r>
        <w:rPr>
          <w:rFonts w:hint="default" w:ascii="Times New Roman" w:hAnsi="Times New Roman" w:eastAsia="宋体" w:cs="Times New Roman"/>
          <w:color w:val="auto"/>
          <w:sz w:val="28"/>
          <w:szCs w:val="28"/>
          <w:lang w:val="en-US" w:eastAsia="zh-CN"/>
        </w:rPr>
        <w:t>3.4 历史突发环境事件调查</w:t>
      </w:r>
      <w:bookmarkEnd w:id="75"/>
      <w:bookmarkEnd w:id="76"/>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通过向</w:t>
      </w:r>
      <w:r>
        <w:rPr>
          <w:rFonts w:hint="default" w:ascii="Times New Roman" w:hAnsi="Times New Roman" w:eastAsia="宋体" w:cs="Times New Roman"/>
          <w:color w:val="auto"/>
          <w:sz w:val="24"/>
          <w:szCs w:val="24"/>
          <w:lang w:eastAsia="zh-CN"/>
        </w:rPr>
        <w:t>邢台兴安液压机械有限公司</w:t>
      </w:r>
      <w:r>
        <w:rPr>
          <w:rFonts w:hint="default" w:ascii="Times New Roman" w:hAnsi="Times New Roman" w:eastAsia="宋体" w:cs="Times New Roman"/>
          <w:color w:val="auto"/>
          <w:sz w:val="24"/>
          <w:szCs w:val="24"/>
        </w:rPr>
        <w:t>现有工作人员了解，该企业建成后未发生过突发环境事件。</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77" w:name="_Toc26873"/>
      <w:bookmarkStart w:id="78" w:name="_Toc11395"/>
      <w:r>
        <w:rPr>
          <w:rFonts w:hint="default" w:ascii="Times New Roman" w:hAnsi="Times New Roman" w:eastAsia="宋体" w:cs="Times New Roman"/>
          <w:color w:val="auto"/>
          <w:sz w:val="28"/>
          <w:szCs w:val="28"/>
          <w:lang w:val="en-US" w:eastAsia="zh-CN"/>
        </w:rPr>
        <w:t>3.5 潜在污染区域及污染物识别</w:t>
      </w:r>
      <w:bookmarkEnd w:id="77"/>
      <w:bookmarkEnd w:id="78"/>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79" w:name="_Toc15731"/>
      <w:bookmarkStart w:id="80" w:name="_Toc15352"/>
      <w:bookmarkStart w:id="81" w:name="_Toc25841"/>
      <w:r>
        <w:rPr>
          <w:rFonts w:hint="default" w:ascii="Times New Roman" w:hAnsi="Times New Roman" w:eastAsia="宋体" w:cs="Times New Roman"/>
          <w:color w:val="auto"/>
          <w:lang w:val="en-US" w:eastAsia="zh-CN"/>
        </w:rPr>
        <w:t>3.5.1 潜在污染区域筛选</w:t>
      </w:r>
      <w:bookmarkEnd w:id="79"/>
      <w:bookmarkEnd w:id="80"/>
      <w:bookmarkEnd w:id="81"/>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依据《重点行业企业用地调查疑似污染地块布点技术规定（试行）》中识别疑似污染区域的原则，并参考环评材料以及现场勘查结果确定疑似污染区域。</w:t>
      </w:r>
      <w:r>
        <w:rPr>
          <w:rFonts w:hint="default" w:ascii="Times New Roman" w:hAnsi="Times New Roman" w:eastAsia="宋体" w:cs="Times New Roman"/>
          <w:color w:val="auto"/>
          <w:sz w:val="24"/>
          <w:szCs w:val="24"/>
        </w:rPr>
        <w:t>根据现场踏勘结果及污染识别，</w:t>
      </w:r>
      <w:r>
        <w:rPr>
          <w:rFonts w:hint="default" w:ascii="Times New Roman" w:hAnsi="Times New Roman" w:eastAsia="宋体" w:cs="Times New Roman"/>
          <w:color w:val="auto"/>
          <w:sz w:val="24"/>
          <w:szCs w:val="24"/>
          <w:lang w:eastAsia="zh-CN"/>
        </w:rPr>
        <w:t>应该</w:t>
      </w:r>
      <w:r>
        <w:rPr>
          <w:rFonts w:hint="default" w:ascii="Times New Roman" w:hAnsi="Times New Roman" w:eastAsia="宋体" w:cs="Times New Roman"/>
          <w:color w:val="auto"/>
          <w:sz w:val="24"/>
          <w:szCs w:val="24"/>
        </w:rPr>
        <w:t>重点关注</w:t>
      </w:r>
      <w:r>
        <w:rPr>
          <w:rFonts w:hint="default" w:ascii="Times New Roman" w:hAnsi="Times New Roman" w:eastAsia="宋体" w:cs="Times New Roman"/>
          <w:color w:val="auto"/>
          <w:sz w:val="24"/>
          <w:szCs w:val="24"/>
          <w:lang w:eastAsia="zh-CN"/>
        </w:rPr>
        <w:t>生产区和污水处理区域</w:t>
      </w:r>
      <w:r>
        <w:rPr>
          <w:rFonts w:hint="default" w:ascii="Times New Roman" w:hAnsi="Times New Roman" w:eastAsia="宋体" w:cs="Times New Roman"/>
          <w:color w:val="auto"/>
          <w:sz w:val="24"/>
          <w:szCs w:val="24"/>
        </w:rPr>
        <w:t>。厂区</w:t>
      </w:r>
      <w:r>
        <w:rPr>
          <w:rFonts w:hint="default" w:ascii="Times New Roman" w:hAnsi="Times New Roman" w:eastAsia="宋体" w:cs="Times New Roman"/>
          <w:color w:val="auto"/>
          <w:sz w:val="24"/>
          <w:szCs w:val="24"/>
          <w:lang w:eastAsia="zh-CN"/>
        </w:rPr>
        <w:t>各个疑似污染区域</w:t>
      </w:r>
      <w:r>
        <w:rPr>
          <w:rFonts w:hint="default" w:ascii="Times New Roman" w:hAnsi="Times New Roman" w:eastAsia="宋体" w:cs="Times New Roman"/>
          <w:color w:val="auto"/>
          <w:sz w:val="24"/>
          <w:szCs w:val="24"/>
        </w:rPr>
        <w:t>见表3.5-1。</w:t>
      </w:r>
    </w:p>
    <w:p>
      <w:pPr>
        <w:pageBreakBefore w:val="0"/>
        <w:widowControl w:val="0"/>
        <w:kinsoku/>
        <w:wordWrap/>
        <w:overflowPunct/>
        <w:topLinePunct w:val="0"/>
        <w:autoSpaceDE/>
        <w:autoSpaceDN/>
        <w:bidi w:val="0"/>
        <w:spacing w:line="360" w:lineRule="auto"/>
        <w:ind w:left="0" w:leftChars="0" w:firstLine="0" w:firstLineChars="0"/>
        <w:jc w:val="center"/>
        <w:rPr>
          <w:rFonts w:hint="default" w:ascii="Times New Roman" w:hAnsi="Times New Roman" w:eastAsia="宋体" w:cs="Times New Roman"/>
          <w:b/>
          <w:color w:val="auto"/>
          <w:kern w:val="0"/>
          <w:sz w:val="24"/>
          <w:szCs w:val="24"/>
          <w:lang w:val="en-US" w:eastAsia="zh-CN" w:bidi="ar"/>
        </w:rPr>
      </w:pPr>
    </w:p>
    <w:p>
      <w:pPr>
        <w:pageBreakBefore w:val="0"/>
        <w:widowControl w:val="0"/>
        <w:kinsoku/>
        <w:wordWrap/>
        <w:overflowPunct/>
        <w:topLinePunct w:val="0"/>
        <w:autoSpaceDE/>
        <w:autoSpaceDN/>
        <w:bidi w:val="0"/>
        <w:spacing w:line="360" w:lineRule="auto"/>
        <w:ind w:left="0" w:leftChars="0" w:firstLine="0" w:firstLineChars="0"/>
        <w:jc w:val="center"/>
        <w:rPr>
          <w:rFonts w:hint="default" w:ascii="Times New Roman" w:hAnsi="Times New Roman" w:eastAsia="宋体" w:cs="Times New Roman"/>
          <w:b/>
          <w:color w:val="auto"/>
          <w:kern w:val="0"/>
          <w:sz w:val="24"/>
          <w:szCs w:val="24"/>
          <w:lang w:val="en-US" w:eastAsia="zh-CN" w:bidi="ar"/>
        </w:rPr>
      </w:pPr>
    </w:p>
    <w:p>
      <w:pPr>
        <w:pageBreakBefore w:val="0"/>
        <w:widowControl w:val="0"/>
        <w:kinsoku/>
        <w:wordWrap/>
        <w:overflowPunct/>
        <w:topLinePunct w:val="0"/>
        <w:autoSpaceDE/>
        <w:autoSpaceDN/>
        <w:bidi w:val="0"/>
        <w:spacing w:line="360" w:lineRule="auto"/>
        <w:ind w:left="0" w:leftChars="0" w:firstLine="0" w:firstLineChars="0"/>
        <w:jc w:val="center"/>
        <w:rPr>
          <w:rFonts w:hint="default" w:ascii="Times New Roman" w:hAnsi="Times New Roman" w:eastAsia="宋体" w:cs="Times New Roman"/>
          <w:b/>
          <w:color w:val="auto"/>
          <w:kern w:val="0"/>
          <w:sz w:val="24"/>
          <w:szCs w:val="24"/>
          <w:lang w:val="en-US" w:eastAsia="zh-CN" w:bidi="ar"/>
        </w:rPr>
      </w:pPr>
    </w:p>
    <w:p>
      <w:pPr>
        <w:pageBreakBefore w:val="0"/>
        <w:widowControl w:val="0"/>
        <w:kinsoku/>
        <w:wordWrap/>
        <w:overflowPunct/>
        <w:topLinePunct w:val="0"/>
        <w:autoSpaceDE/>
        <w:autoSpaceDN/>
        <w:bidi w:val="0"/>
        <w:spacing w:line="360" w:lineRule="auto"/>
        <w:ind w:left="0" w:leftChars="0" w:firstLine="0" w:firstLineChars="0"/>
        <w:jc w:val="center"/>
        <w:rPr>
          <w:rFonts w:hint="default" w:ascii="Times New Roman" w:hAnsi="Times New Roman" w:eastAsia="宋体" w:cs="Times New Roman"/>
          <w:b/>
          <w:color w:val="auto"/>
          <w:kern w:val="0"/>
          <w:sz w:val="24"/>
          <w:szCs w:val="24"/>
          <w:lang w:val="en-US" w:eastAsia="zh-CN" w:bidi="ar"/>
        </w:rPr>
      </w:pPr>
    </w:p>
    <w:p>
      <w:pPr>
        <w:pageBreakBefore w:val="0"/>
        <w:widowControl w:val="0"/>
        <w:kinsoku/>
        <w:wordWrap/>
        <w:overflowPunct/>
        <w:topLinePunct w:val="0"/>
        <w:autoSpaceDE/>
        <w:autoSpaceDN/>
        <w:bidi w:val="0"/>
        <w:spacing w:line="360" w:lineRule="auto"/>
        <w:ind w:left="0" w:leftChars="0" w:firstLine="0" w:firstLineChars="0"/>
        <w:jc w:val="center"/>
        <w:rPr>
          <w:rFonts w:hint="default" w:ascii="Times New Roman" w:hAnsi="Times New Roman" w:eastAsia="宋体" w:cs="Times New Roman"/>
          <w:b/>
          <w:color w:val="auto"/>
          <w:kern w:val="0"/>
          <w:sz w:val="24"/>
          <w:szCs w:val="24"/>
          <w:lang w:val="en-US" w:eastAsia="zh-CN" w:bidi="ar"/>
        </w:rPr>
      </w:pPr>
    </w:p>
    <w:p>
      <w:pPr>
        <w:pageBreakBefore w:val="0"/>
        <w:widowControl w:val="0"/>
        <w:kinsoku/>
        <w:wordWrap/>
        <w:overflowPunct/>
        <w:topLinePunct w:val="0"/>
        <w:autoSpaceDE/>
        <w:autoSpaceDN/>
        <w:bidi w:val="0"/>
        <w:spacing w:line="360" w:lineRule="auto"/>
        <w:ind w:left="0" w:leftChars="0" w:firstLine="0" w:firstLineChars="0"/>
        <w:jc w:val="center"/>
        <w:rPr>
          <w:rFonts w:hint="default" w:ascii="Times New Roman" w:hAnsi="Times New Roman" w:eastAsia="宋体" w:cs="Times New Roman"/>
          <w:b/>
          <w:color w:val="auto"/>
          <w:kern w:val="0"/>
          <w:sz w:val="24"/>
          <w:szCs w:val="24"/>
          <w:lang w:val="en-US" w:eastAsia="zh-CN" w:bidi="ar"/>
        </w:rPr>
      </w:pPr>
    </w:p>
    <w:p>
      <w:pPr>
        <w:pageBreakBefore w:val="0"/>
        <w:widowControl w:val="0"/>
        <w:kinsoku/>
        <w:wordWrap/>
        <w:overflowPunct/>
        <w:topLinePunct w:val="0"/>
        <w:autoSpaceDE/>
        <w:autoSpaceDN/>
        <w:bidi w:val="0"/>
        <w:spacing w:line="360" w:lineRule="auto"/>
        <w:ind w:left="0" w:leftChars="0" w:firstLine="0" w:firstLineChars="0"/>
        <w:jc w:val="center"/>
        <w:rPr>
          <w:rFonts w:hint="default" w:ascii="Times New Roman" w:hAnsi="Times New Roman" w:cs="Times New Roman"/>
          <w:color w:val="auto"/>
        </w:rPr>
      </w:pPr>
      <w:r>
        <w:rPr>
          <w:rFonts w:hint="default" w:ascii="Times New Roman" w:hAnsi="Times New Roman" w:eastAsia="宋体" w:cs="Times New Roman"/>
          <w:b/>
          <w:color w:val="auto"/>
          <w:kern w:val="0"/>
          <w:sz w:val="24"/>
          <w:szCs w:val="24"/>
          <w:lang w:val="en-US" w:eastAsia="zh-CN" w:bidi="ar"/>
        </w:rPr>
        <w:t>表3.5-1  疑似污染区域汇总表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b/>
                <w:color w:val="auto"/>
                <w:kern w:val="0"/>
                <w:sz w:val="21"/>
                <w:szCs w:val="21"/>
                <w:vertAlign w:val="baseline"/>
                <w:lang w:val="en-US" w:eastAsia="zh-CN" w:bidi="ar"/>
              </w:rPr>
              <w:t>序号</w:t>
            </w:r>
          </w:p>
        </w:tc>
        <w:tc>
          <w:tcPr>
            <w:tcW w:w="2841"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b/>
                <w:color w:val="auto"/>
                <w:kern w:val="0"/>
                <w:sz w:val="21"/>
                <w:szCs w:val="21"/>
                <w:vertAlign w:val="baseline"/>
                <w:lang w:val="en-US" w:eastAsia="zh-CN" w:bidi="ar"/>
              </w:rPr>
              <w:t>疑似污染区域</w:t>
            </w:r>
          </w:p>
        </w:tc>
        <w:tc>
          <w:tcPr>
            <w:tcW w:w="2841"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b/>
                <w:color w:val="auto"/>
                <w:kern w:val="0"/>
                <w:sz w:val="21"/>
                <w:szCs w:val="21"/>
                <w:vertAlign w:val="baseline"/>
                <w:lang w:val="en-US" w:eastAsia="zh-CN" w:bidi="ar"/>
              </w:rPr>
              <w:t>疑似污染区域原因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机加工车间</w:t>
            </w:r>
          </w:p>
        </w:tc>
        <w:tc>
          <w:tcPr>
            <w:tcW w:w="284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2841"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镀铁车间</w:t>
            </w:r>
          </w:p>
        </w:tc>
        <w:tc>
          <w:tcPr>
            <w:tcW w:w="284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p>
        </w:tc>
        <w:tc>
          <w:tcPr>
            <w:tcW w:w="2841"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镀铬车间</w:t>
            </w:r>
          </w:p>
        </w:tc>
        <w:tc>
          <w:tcPr>
            <w:tcW w:w="284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2841"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污水处理站</w:t>
            </w:r>
          </w:p>
        </w:tc>
        <w:tc>
          <w:tcPr>
            <w:tcW w:w="284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污水处理区域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w:t>
            </w:r>
          </w:p>
        </w:tc>
        <w:tc>
          <w:tcPr>
            <w:tcW w:w="2841"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生化处理车间</w:t>
            </w:r>
          </w:p>
        </w:tc>
        <w:tc>
          <w:tcPr>
            <w:tcW w:w="284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c>
          <w:tcPr>
            <w:tcW w:w="2841"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危废间</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危废暂存</w:t>
            </w:r>
          </w:p>
        </w:tc>
      </w:tr>
    </w:tbl>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根据上表，邢台兴安液压机械</w:t>
      </w:r>
      <w:r>
        <w:rPr>
          <w:rFonts w:hint="default" w:ascii="Times New Roman" w:hAnsi="Times New Roman" w:eastAsia="宋体" w:cs="Times New Roman"/>
          <w:color w:val="auto"/>
          <w:sz w:val="24"/>
          <w:szCs w:val="24"/>
          <w:lang w:eastAsia="zh-CN"/>
        </w:rPr>
        <w:t>有限公司</w:t>
      </w:r>
      <w:r>
        <w:rPr>
          <w:rFonts w:hint="default" w:ascii="Times New Roman" w:hAnsi="Times New Roman" w:eastAsia="宋体" w:cs="Times New Roman"/>
          <w:color w:val="auto"/>
          <w:lang w:val="en-US" w:eastAsia="zh-CN"/>
        </w:rPr>
        <w:t>整个厂区共识别出3个潜在污染区域：①生产车间（</w:t>
      </w:r>
      <w:r>
        <w:rPr>
          <w:rFonts w:hint="default" w:ascii="Times New Roman" w:hAnsi="Times New Roman" w:eastAsia="宋体" w:cs="Times New Roman"/>
          <w:color w:val="auto"/>
          <w:sz w:val="24"/>
          <w:szCs w:val="24"/>
          <w:lang w:val="en-US" w:eastAsia="zh-CN"/>
        </w:rPr>
        <w:t>机加工车间、镀铬车间和镀铁车间）；②污水处理区（污水处理站和生化处理车间）；③危废库</w:t>
      </w:r>
      <w:r>
        <w:rPr>
          <w:rFonts w:hint="default" w:ascii="Times New Roman" w:hAnsi="Times New Roman" w:eastAsia="宋体" w:cs="Times New Roman"/>
          <w:color w:val="auto"/>
          <w:sz w:val="24"/>
          <w:szCs w:val="24"/>
          <w:lang w:eastAsia="zh-CN"/>
        </w:rPr>
        <w:t>。</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82" w:name="_Toc7990"/>
      <w:bookmarkStart w:id="83" w:name="_Toc26943"/>
      <w:bookmarkStart w:id="84" w:name="_Toc14300"/>
      <w:bookmarkStart w:id="85" w:name="_Toc12276"/>
      <w:r>
        <w:rPr>
          <w:rFonts w:hint="default" w:ascii="Times New Roman" w:hAnsi="Times New Roman" w:eastAsia="宋体" w:cs="Times New Roman"/>
          <w:color w:val="auto"/>
          <w:lang w:val="en-US" w:eastAsia="zh-CN"/>
        </w:rPr>
        <w:t>3.5.2 潜在特征污染物识别</w:t>
      </w:r>
      <w:bookmarkEnd w:id="82"/>
      <w:bookmarkEnd w:id="83"/>
      <w:bookmarkEnd w:id="84"/>
      <w:bookmarkEnd w:id="85"/>
    </w:p>
    <w:p>
      <w:pPr>
        <w:pageBreakBefore w:val="0"/>
        <w:kinsoku/>
        <w:wordWrap/>
        <w:overflowPunct/>
        <w:topLinePunct w:val="0"/>
        <w:bidi w:val="0"/>
        <w:spacing w:line="36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根据厂区布局及现场踏勘情况，本节主要从存在污染源和存在污染途径两个方面进行污染识别。本企业各功能区分布明确，从污染源角度</w:t>
      </w:r>
      <w:r>
        <w:rPr>
          <w:rFonts w:hint="default" w:ascii="Times New Roman" w:hAnsi="Times New Roman" w:eastAsia="宋体" w:cs="Times New Roman"/>
          <w:color w:val="auto"/>
          <w:sz w:val="24"/>
          <w:szCs w:val="24"/>
          <w:lang w:eastAsia="zh-CN"/>
        </w:rPr>
        <w:t>看，生产区和污水处理区</w:t>
      </w:r>
      <w:r>
        <w:rPr>
          <w:rFonts w:hint="default" w:ascii="Times New Roman" w:hAnsi="Times New Roman" w:eastAsia="宋体" w:cs="Times New Roman"/>
          <w:color w:val="auto"/>
          <w:sz w:val="24"/>
          <w:szCs w:val="24"/>
        </w:rPr>
        <w:t>均存在潜在污染源。从潜在污染途径分析，企业生产活动中可能对土壤或地下水造成污染的情况包括：</w:t>
      </w:r>
    </w:p>
    <w:p>
      <w:pPr>
        <w:pageBreakBefore w:val="0"/>
        <w:kinsoku/>
        <w:wordWrap/>
        <w:overflowPunct/>
        <w:topLinePunct w:val="0"/>
        <w:bidi w:val="0"/>
        <w:spacing w:line="360" w:lineRule="auto"/>
        <w:jc w:val="both"/>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1</w:t>
      </w:r>
      <w:r>
        <w:rPr>
          <w:rFonts w:hint="default" w:ascii="Times New Roman" w:hAnsi="Times New Roman" w:eastAsia="宋体" w:cs="Times New Roman"/>
          <w:color w:val="auto"/>
          <w:szCs w:val="24"/>
          <w:lang w:eastAsia="zh-CN"/>
        </w:rPr>
        <w:t>）生产车间</w:t>
      </w:r>
    </w:p>
    <w:p>
      <w:pPr>
        <w:pageBreakBefore w:val="0"/>
        <w:kinsoku/>
        <w:wordWrap/>
        <w:overflowPunct/>
        <w:topLinePunct w:val="0"/>
        <w:bidi w:val="0"/>
        <w:spacing w:line="360" w:lineRule="auto"/>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eastAsia="zh-CN"/>
        </w:rPr>
        <w:t>生产过程中产生的废气和废液等一旦发生</w:t>
      </w:r>
      <w:r>
        <w:rPr>
          <w:rFonts w:hint="default" w:ascii="Times New Roman" w:hAnsi="Times New Roman" w:eastAsia="宋体" w:cs="Times New Roman"/>
          <w:color w:val="auto"/>
          <w:lang w:eastAsia="zh-CN"/>
        </w:rPr>
        <w:t>遗撒或泄露，可能</w:t>
      </w:r>
      <w:r>
        <w:rPr>
          <w:rFonts w:hint="default" w:ascii="Times New Roman" w:hAnsi="Times New Roman" w:eastAsia="宋体" w:cs="Times New Roman"/>
          <w:color w:val="auto"/>
        </w:rPr>
        <w:t>造成土壤</w:t>
      </w:r>
      <w:r>
        <w:rPr>
          <w:rFonts w:hint="default" w:ascii="Times New Roman" w:hAnsi="Times New Roman" w:eastAsia="宋体" w:cs="Times New Roman"/>
          <w:color w:val="auto"/>
          <w:lang w:eastAsia="zh-CN"/>
        </w:rPr>
        <w:t>和地下水</w:t>
      </w:r>
      <w:r>
        <w:rPr>
          <w:rFonts w:hint="default" w:ascii="Times New Roman" w:hAnsi="Times New Roman" w:eastAsia="宋体" w:cs="Times New Roman"/>
          <w:color w:val="auto"/>
        </w:rPr>
        <w:t>污染</w:t>
      </w:r>
      <w:r>
        <w:rPr>
          <w:rFonts w:hint="default" w:ascii="Times New Roman" w:hAnsi="Times New Roman" w:eastAsia="宋体" w:cs="Times New Roman"/>
          <w:color w:val="auto"/>
          <w:szCs w:val="24"/>
        </w:rPr>
        <w:t>；</w:t>
      </w:r>
    </w:p>
    <w:p>
      <w:pPr>
        <w:pageBreakBefore w:val="0"/>
        <w:kinsoku/>
        <w:wordWrap/>
        <w:overflowPunct/>
        <w:topLinePunct w:val="0"/>
        <w:bidi w:val="0"/>
        <w:spacing w:line="360" w:lineRule="auto"/>
        <w:jc w:val="both"/>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lang w:eastAsia="zh-CN"/>
        </w:rPr>
        <w:t>）污水处理区</w:t>
      </w:r>
    </w:p>
    <w:p>
      <w:pPr>
        <w:pageBreakBefore w:val="0"/>
        <w:kinsoku/>
        <w:wordWrap/>
        <w:overflowPunct/>
        <w:topLinePunct w:val="0"/>
        <w:bidi w:val="0"/>
        <w:spacing w:line="360" w:lineRule="auto"/>
        <w:jc w:val="both"/>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电镀车间产生的含铬废水以及含铁废水处理过程中若</w:t>
      </w:r>
      <w:r>
        <w:rPr>
          <w:rFonts w:hint="default" w:ascii="Times New Roman" w:hAnsi="Times New Roman" w:eastAsia="宋体" w:cs="Times New Roman"/>
          <w:color w:val="auto"/>
          <w:szCs w:val="24"/>
          <w:lang w:eastAsia="zh-CN"/>
        </w:rPr>
        <w:t>收集池池壁一旦有裂缝</w:t>
      </w:r>
      <w:r>
        <w:rPr>
          <w:rFonts w:hint="default" w:ascii="Times New Roman" w:hAnsi="Times New Roman" w:eastAsia="宋体" w:cs="Times New Roman"/>
          <w:color w:val="auto"/>
          <w:szCs w:val="24"/>
        </w:rPr>
        <w:t>可能通过泄露进入土壤造成</w:t>
      </w:r>
      <w:r>
        <w:rPr>
          <w:rFonts w:hint="default" w:ascii="Times New Roman" w:hAnsi="Times New Roman" w:eastAsia="宋体" w:cs="Times New Roman"/>
          <w:color w:val="auto"/>
          <w:szCs w:val="24"/>
          <w:lang w:eastAsia="zh-CN"/>
        </w:rPr>
        <w:t>土壤和地下水</w:t>
      </w:r>
      <w:r>
        <w:rPr>
          <w:rFonts w:hint="default" w:ascii="Times New Roman" w:hAnsi="Times New Roman" w:eastAsia="宋体" w:cs="Times New Roman"/>
          <w:color w:val="auto"/>
          <w:szCs w:val="24"/>
        </w:rPr>
        <w:t>污染</w:t>
      </w:r>
      <w:r>
        <w:rPr>
          <w:rFonts w:hint="default" w:ascii="Times New Roman" w:hAnsi="Times New Roman" w:eastAsia="宋体" w:cs="Times New Roman"/>
          <w:color w:val="auto"/>
          <w:szCs w:val="24"/>
          <w:lang w:eastAsia="zh-CN"/>
        </w:rPr>
        <w:t>。</w:t>
      </w:r>
    </w:p>
    <w:p>
      <w:pPr>
        <w:pStyle w:val="2"/>
        <w:numPr>
          <w:ilvl w:val="-1"/>
          <w:numId w:val="0"/>
        </w:numPr>
        <w:ind w:firstLine="480" w:firstLineChars="200"/>
        <w:rPr>
          <w:rFonts w:hint="default" w:ascii="Times New Roman" w:hAnsi="Times New Roman" w:cs="Times New Roman"/>
          <w:lang w:val="en-US" w:eastAsia="zh-CN"/>
        </w:rPr>
      </w:pPr>
      <w:r>
        <w:rPr>
          <w:rFonts w:hint="default" w:ascii="Times New Roman" w:hAnsi="Times New Roman" w:eastAsia="宋体" w:cs="Times New Roman"/>
          <w:color w:val="auto"/>
          <w:szCs w:val="24"/>
          <w:lang w:val="en-US" w:eastAsia="zh-CN"/>
        </w:rPr>
        <w:t>（3）危废库</w:t>
      </w:r>
    </w:p>
    <w:p>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危废库为生产过程中产生</w:t>
      </w:r>
      <w:r>
        <w:rPr>
          <w:rFonts w:hint="default" w:ascii="Times New Roman" w:hAnsi="Times New Roman" w:eastAsia="宋体" w:cs="Times New Roman"/>
          <w:color w:val="auto"/>
          <w:sz w:val="24"/>
          <w:szCs w:val="24"/>
          <w:lang w:val="en-US" w:eastAsia="zh-CN"/>
        </w:rPr>
        <w:t>废渣、废润滑油、废乳化液、废酸水、废电镀液等物质的暂存区域，盛装容器的不规范及破损均可造成该区域土壤及地下水的污染。</w:t>
      </w:r>
    </w:p>
    <w:p>
      <w:pPr>
        <w:pageBreakBefore w:val="0"/>
        <w:kinsoku/>
        <w:wordWrap/>
        <w:overflowPunct/>
        <w:topLinePunct w:val="0"/>
        <w:bidi w:val="0"/>
        <w:spacing w:line="360" w:lineRule="auto"/>
        <w:jc w:val="both"/>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rPr>
        <w:t>本厂区内各区域潜在的特征污染物识别汇总见表</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color w:val="auto"/>
          <w:sz w:val="24"/>
          <w:szCs w:val="24"/>
        </w:rPr>
      </w:pPr>
    </w:p>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color w:val="auto"/>
          <w:sz w:val="24"/>
          <w:szCs w:val="24"/>
        </w:rPr>
      </w:pPr>
    </w:p>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w:t>
      </w: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-2  潜在特征污染物识别汇总表</w:t>
      </w:r>
    </w:p>
    <w:tbl>
      <w:tblPr>
        <w:tblStyle w:val="17"/>
        <w:tblpPr w:leftFromText="180" w:rightFromText="180" w:vertAnchor="text" w:horzAnchor="page" w:tblpX="2032" w:tblpY="4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244"/>
        <w:gridCol w:w="1098"/>
        <w:gridCol w:w="1746"/>
        <w:gridCol w:w="1799"/>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区域</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生产环节</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生产工序</w:t>
            </w:r>
          </w:p>
        </w:tc>
        <w:tc>
          <w:tcPr>
            <w:tcW w:w="174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涉及的主要物质</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潜在特征污染物类型</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机加工车间</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粗加工、精加工</w:t>
            </w:r>
          </w:p>
        </w:tc>
        <w:tc>
          <w:tcPr>
            <w:tcW w:w="174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润滑油、乳化液</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石油类</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设施的泄露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镀铬车间</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镀铬生产线</w:t>
            </w:r>
          </w:p>
        </w:tc>
        <w:tc>
          <w:tcPr>
            <w:tcW w:w="174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铬酐、硫酸、含铬废水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PH、重金属、</w:t>
            </w:r>
            <w:r>
              <w:rPr>
                <w:rFonts w:hint="default" w:ascii="Times New Roman" w:hAnsi="Times New Roman" w:eastAsia="宋体" w:cs="Times New Roman"/>
                <w:color w:val="auto"/>
                <w:sz w:val="21"/>
                <w:szCs w:val="21"/>
              </w:rPr>
              <w:t>VOCs、SVOCs</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设施的泄露；管线的跑、冒、滴、漏；原材料的遗撒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镀铁车间</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镀铁生产线</w:t>
            </w:r>
          </w:p>
        </w:tc>
        <w:tc>
          <w:tcPr>
            <w:tcW w:w="174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硫酸、含铁废水、液碱</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PH、重金属、</w:t>
            </w:r>
            <w:r>
              <w:rPr>
                <w:rFonts w:hint="default" w:ascii="Times New Roman" w:hAnsi="Times New Roman" w:eastAsia="宋体" w:cs="Times New Roman"/>
                <w:color w:val="auto"/>
                <w:sz w:val="21"/>
                <w:szCs w:val="21"/>
              </w:rPr>
              <w:t>VOCs、SVOCs</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设施的泄露；管线的跑、冒、滴、漏；原材料的遗撒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污水处理区</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综合污水处理站和生化处理车间</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污水处理</w:t>
            </w:r>
          </w:p>
        </w:tc>
        <w:tc>
          <w:tcPr>
            <w:tcW w:w="174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含重金属废水、酸碱废水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PH、重金属、</w:t>
            </w:r>
            <w:r>
              <w:rPr>
                <w:rFonts w:hint="default" w:ascii="Times New Roman" w:hAnsi="Times New Roman" w:eastAsia="宋体" w:cs="Times New Roman"/>
                <w:color w:val="auto"/>
                <w:sz w:val="21"/>
                <w:szCs w:val="21"/>
              </w:rPr>
              <w:t>VOCs、SVOCs</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设施的泄露或管线的跑、冒、滴、漏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危废暂存区</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危废库</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危废暂存</w:t>
            </w:r>
          </w:p>
        </w:tc>
        <w:tc>
          <w:tcPr>
            <w:tcW w:w="174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sz w:val="21"/>
                <w:szCs w:val="21"/>
                <w:lang w:val="en-US" w:eastAsia="zh-CN"/>
              </w:rPr>
              <w:t>废渣、</w:t>
            </w:r>
            <w:r>
              <w:rPr>
                <w:rFonts w:hint="default" w:ascii="Times New Roman" w:hAnsi="Times New Roman" w:eastAsia="宋体" w:cs="Times New Roman"/>
                <w:sz w:val="21"/>
                <w:szCs w:val="21"/>
                <w:lang w:val="en-US" w:eastAsia="zh-CN"/>
              </w:rPr>
              <w:t>废润滑油、废乳化液、废酸水、废电镀液等</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重金属、VOCs、SVOCs、pH、TPH</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遗撒或泄露</w:t>
            </w:r>
          </w:p>
        </w:tc>
      </w:tr>
    </w:tbl>
    <w:p>
      <w:pPr>
        <w:pStyle w:val="5"/>
        <w:pageBreakBefore w:val="0"/>
        <w:kinsoku/>
        <w:wordWrap/>
        <w:overflowPunct/>
        <w:topLinePunct w:val="0"/>
        <w:bidi w:val="0"/>
        <w:spacing w:line="360" w:lineRule="auto"/>
        <w:ind w:left="0" w:leftChars="0" w:firstLine="0" w:firstLineChars="0"/>
        <w:rPr>
          <w:rFonts w:hint="default" w:ascii="Times New Roman" w:hAnsi="Times New Roman" w:cs="Times New Roman"/>
        </w:rPr>
      </w:pPr>
      <w:bookmarkStart w:id="86" w:name="_Toc8055"/>
      <w:bookmarkStart w:id="87" w:name="_Toc6129"/>
      <w:r>
        <w:rPr>
          <w:rFonts w:hint="default" w:ascii="Times New Roman" w:hAnsi="Times New Roman" w:cs="Times New Roman"/>
        </w:rPr>
        <w:t>3.</w:t>
      </w:r>
      <w:r>
        <w:rPr>
          <w:rFonts w:hint="default" w:ascii="Times New Roman" w:hAnsi="Times New Roman" w:cs="Times New Roman"/>
          <w:lang w:val="en-US" w:eastAsia="zh-CN"/>
        </w:rPr>
        <w:t>6</w:t>
      </w:r>
      <w:r>
        <w:rPr>
          <w:rFonts w:hint="default" w:ascii="Times New Roman" w:hAnsi="Times New Roman" w:cs="Times New Roman"/>
        </w:rPr>
        <w:t xml:space="preserve"> 场地周边</w:t>
      </w:r>
      <w:r>
        <w:rPr>
          <w:rFonts w:hint="default" w:ascii="Times New Roman" w:hAnsi="Times New Roman" w:cs="Times New Roman"/>
          <w:lang w:eastAsia="zh-CN"/>
        </w:rPr>
        <w:t>区域</w:t>
      </w:r>
      <w:r>
        <w:rPr>
          <w:rFonts w:hint="default" w:ascii="Times New Roman" w:hAnsi="Times New Roman" w:cs="Times New Roman"/>
        </w:rPr>
        <w:t>污染识别</w:t>
      </w:r>
      <w:bookmarkEnd w:id="86"/>
      <w:bookmarkEnd w:id="87"/>
    </w:p>
    <w:p>
      <w:pPr>
        <w:rPr>
          <w:rFonts w:hint="default" w:ascii="Times New Roman" w:hAnsi="Times New Roman" w:cs="Times New Roman"/>
          <w:lang w:eastAsia="zh-CN"/>
        </w:rPr>
      </w:pPr>
      <w:r>
        <w:rPr>
          <w:rFonts w:hint="default" w:ascii="Times New Roman" w:hAnsi="Times New Roman" w:cs="Times New Roman"/>
          <w:lang w:eastAsia="zh-CN"/>
        </w:rPr>
        <w:t>根据我方技术人员对本项目周边环境进行污染识别，本场地周边可能对本场地造成环境影响的企业主要为北侧的任县金丰工贸有限公司、南侧的河北刑工机械制造有限公司、西侧的邢台顺达铁路配件有限公司及东侧的原邢台市农药厂，污染识别情况见下表：</w:t>
      </w:r>
    </w:p>
    <w:p>
      <w:pPr>
        <w:pStyle w:val="2"/>
        <w:ind w:left="0" w:leftChars="0" w:firstLine="0" w:firstLineChars="0"/>
        <w:jc w:val="center"/>
        <w:rPr>
          <w:rFonts w:hint="default" w:ascii="Times New Roman" w:hAnsi="Times New Roman" w:eastAsia="宋体" w:cs="Times New Roman"/>
          <w:b/>
          <w:color w:val="auto"/>
          <w:sz w:val="24"/>
          <w:szCs w:val="24"/>
        </w:rPr>
      </w:pPr>
    </w:p>
    <w:p>
      <w:pPr>
        <w:pStyle w:val="2"/>
        <w:ind w:left="0" w:leftChars="0" w:firstLine="0" w:firstLineChars="0"/>
        <w:jc w:val="center"/>
        <w:rPr>
          <w:rFonts w:hint="default" w:ascii="Times New Roman" w:hAnsi="Times New Roman" w:eastAsia="宋体" w:cs="Times New Roman"/>
          <w:b/>
          <w:color w:val="auto"/>
          <w:sz w:val="24"/>
          <w:szCs w:val="24"/>
        </w:rPr>
      </w:pPr>
    </w:p>
    <w:p>
      <w:pPr>
        <w:pStyle w:val="2"/>
        <w:ind w:left="0" w:leftChars="0" w:firstLine="0" w:firstLineChars="0"/>
        <w:jc w:val="center"/>
        <w:rPr>
          <w:rFonts w:hint="default" w:ascii="Times New Roman" w:hAnsi="Times New Roman" w:eastAsia="宋体" w:cs="Times New Roman"/>
          <w:b/>
          <w:color w:val="auto"/>
          <w:sz w:val="24"/>
          <w:szCs w:val="24"/>
        </w:rPr>
      </w:pPr>
    </w:p>
    <w:p>
      <w:pPr>
        <w:pStyle w:val="2"/>
        <w:ind w:left="0" w:leftChars="0" w:firstLine="0" w:firstLineChars="0"/>
        <w:jc w:val="center"/>
        <w:rPr>
          <w:rFonts w:hint="default" w:ascii="Times New Roman" w:hAnsi="Times New Roman" w:eastAsia="宋体" w:cs="Times New Roman"/>
          <w:b/>
          <w:color w:val="auto"/>
          <w:sz w:val="24"/>
          <w:szCs w:val="24"/>
        </w:rPr>
      </w:pPr>
    </w:p>
    <w:p>
      <w:pPr>
        <w:bidi w:val="0"/>
        <w:rPr>
          <w:rFonts w:hint="default"/>
        </w:rPr>
      </w:pPr>
    </w:p>
    <w:p>
      <w:pPr>
        <w:pStyle w:val="2"/>
        <w:ind w:left="0" w:leftChars="0" w:firstLine="0" w:firstLineChars="0"/>
        <w:jc w:val="center"/>
        <w:rPr>
          <w:rFonts w:hint="default" w:ascii="Times New Roman" w:hAnsi="Times New Roman" w:cs="Times New Roman"/>
          <w:lang w:eastAsia="zh-CN"/>
        </w:rPr>
      </w:pPr>
      <w:r>
        <w:rPr>
          <w:rFonts w:hint="default" w:ascii="Times New Roman" w:hAnsi="Times New Roman" w:eastAsia="宋体" w:cs="Times New Roman"/>
          <w:b/>
          <w:color w:val="auto"/>
          <w:sz w:val="24"/>
          <w:szCs w:val="24"/>
        </w:rPr>
        <w:t>表3</w:t>
      </w:r>
      <w:r>
        <w:rPr>
          <w:rFonts w:hint="default"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eastAsia="zh-CN"/>
        </w:rPr>
        <w:t>周边环境</w:t>
      </w:r>
      <w:r>
        <w:rPr>
          <w:rFonts w:hint="default" w:ascii="Times New Roman" w:hAnsi="Times New Roman" w:eastAsia="宋体" w:cs="Times New Roman"/>
          <w:b/>
          <w:color w:val="auto"/>
          <w:sz w:val="24"/>
          <w:szCs w:val="24"/>
        </w:rPr>
        <w:t>潜在特征污染物识别表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211"/>
        <w:gridCol w:w="3413"/>
        <w:gridCol w:w="1908"/>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line="36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位置</w:t>
            </w:r>
            <w:r>
              <w:rPr>
                <w:rFonts w:hint="default" w:ascii="Times New Roman" w:hAnsi="Times New Roman" w:eastAsia="宋体" w:cs="Times New Roman"/>
                <w:b/>
                <w:bCs/>
                <w:color w:val="auto"/>
                <w:sz w:val="21"/>
                <w:szCs w:val="21"/>
                <w:lang w:val="en-US" w:eastAsia="zh-CN"/>
              </w:rPr>
              <w:t xml:space="preserve"> </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企业</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生产工序</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潜在特征污染物类型</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对本场地可能的</w:t>
            </w:r>
            <w:r>
              <w:rPr>
                <w:rFonts w:hint="default" w:ascii="Times New Roman" w:hAnsi="Times New Roman" w:eastAsia="宋体" w:cs="Times New Roman"/>
                <w:b/>
                <w:bCs/>
                <w:color w:val="auto"/>
                <w:sz w:val="21"/>
                <w:szCs w:val="21"/>
              </w:rPr>
              <w:t>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北侧</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任县金丰工贸有限公司</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采矿采石设备、液压立柱、通用零部件、地质工程机械、钻机等的生产及维修。</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pH、重金属、TPH等</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土壤淋溶、地表径流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eastAsia="zh-CN"/>
              </w:rPr>
              <w:t>南侧</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河北刑工机械制造有限公司</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滚丝机、缩径机、麻花锚杆机、麻花冷（热）压扁机等冷挤压成型金属机床的生产及销售</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pH、重金属、TPH等</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土壤淋溶、地表径流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eastAsia="zh-CN"/>
              </w:rPr>
              <w:t>西侧</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邢台顺达铁路配件有限公司</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铁路配件的生产、加工，主要包括橡胶制品、塑料制品、石棉制品等。</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pH、重金属、TPH、VOCs、SVOCs等</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土壤淋溶、地表径流、大气沉降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eastAsia="zh-CN"/>
              </w:rPr>
              <w:t>东侧</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原邢台市农药厂</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辛硫磷原药; 乙基氯化物; 各种制剂等的生产</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pH、VOCs、SVOCs等</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土壤淋溶、地表径流、大气沉降</w:t>
            </w:r>
          </w:p>
        </w:tc>
      </w:tr>
    </w:tbl>
    <w:p>
      <w:pPr>
        <w:bidi w:val="0"/>
        <w:rPr>
          <w:rFonts w:hint="default" w:ascii="Times New Roman" w:hAnsi="Times New Roman" w:cs="Times New Roman"/>
          <w:lang w:val="en-US" w:eastAsia="zh-CN"/>
        </w:rPr>
      </w:pPr>
      <w:r>
        <w:rPr>
          <w:rFonts w:hint="default" w:ascii="Times New Roman" w:hAnsi="Times New Roman" w:cs="Times New Roman"/>
          <w:lang w:val="en-US" w:eastAsia="zh-CN"/>
        </w:rPr>
        <w:t>经过对本场地周边环境进行污染识别，本项目场地周边企业对本场地可能产生的污染物类型主要包括pH、重金属、TPH、VOCs、SVOCs等，污染途径主要为土壤淋溶、地表径流及大气沉降，根据区域地下水流向、主导风向及周边企业现有生产情况等判断，对本场地产生污染的影响较小，但不排除有污染的可能性。</w:t>
      </w:r>
    </w:p>
    <w:p>
      <w:pPr>
        <w:pStyle w:val="5"/>
        <w:pageBreakBefore w:val="0"/>
        <w:kinsoku/>
        <w:wordWrap/>
        <w:overflowPunct/>
        <w:topLinePunct w:val="0"/>
        <w:bidi w:val="0"/>
        <w:spacing w:line="360" w:lineRule="auto"/>
        <w:ind w:left="0" w:leftChars="0" w:firstLine="0" w:firstLineChars="0"/>
        <w:rPr>
          <w:rFonts w:hint="default" w:ascii="Times New Roman" w:hAnsi="Times New Roman" w:cs="Times New Roman"/>
          <w:lang w:val="en-US" w:eastAsia="zh-CN"/>
        </w:rPr>
      </w:pPr>
      <w:bookmarkStart w:id="88" w:name="_Toc5887"/>
      <w:r>
        <w:rPr>
          <w:rFonts w:hint="default" w:ascii="Times New Roman" w:hAnsi="Times New Roman" w:cs="Times New Roman"/>
          <w:lang w:val="en-US" w:eastAsia="zh-CN"/>
        </w:rPr>
        <w:t>3.7场地污染识别小结</w:t>
      </w:r>
      <w:bookmarkEnd w:id="88"/>
    </w:p>
    <w:p>
      <w:pPr>
        <w:bidi w:val="0"/>
        <w:rPr>
          <w:rFonts w:hint="default" w:ascii="Times New Roman" w:hAnsi="Times New Roman" w:cs="Times New Roman"/>
        </w:rPr>
      </w:pPr>
      <w:r>
        <w:rPr>
          <w:rFonts w:hint="default" w:ascii="Times New Roman" w:hAnsi="Times New Roman" w:cs="Times New Roman"/>
        </w:rPr>
        <w:t>通过现场踏勘、调查访问，收集场地现状和历史资料及相关文献，分析</w:t>
      </w:r>
      <w:r>
        <w:rPr>
          <w:rFonts w:hint="default" w:ascii="Times New Roman" w:hAnsi="Times New Roman" w:cs="Times New Roman"/>
          <w:lang w:eastAsia="zh-CN"/>
        </w:rPr>
        <w:t>厂区</w:t>
      </w:r>
      <w:r>
        <w:rPr>
          <w:rFonts w:hint="default" w:ascii="Times New Roman" w:hAnsi="Times New Roman" w:cs="Times New Roman"/>
        </w:rPr>
        <w:t>的平面布置、生产工艺、原辅料、污染物排放和污染痕迹的可能性，初步认为可能导致土壤污染的主要原因为各生产车间的原辅料、</w:t>
      </w:r>
      <w:r>
        <w:rPr>
          <w:rFonts w:hint="default" w:ascii="Times New Roman" w:hAnsi="Times New Roman" w:cs="Times New Roman"/>
          <w:lang w:eastAsia="zh-CN"/>
        </w:rPr>
        <w:t>生产废物</w:t>
      </w:r>
      <w:r>
        <w:rPr>
          <w:rFonts w:hint="default" w:ascii="Times New Roman" w:hAnsi="Times New Roman" w:cs="Times New Roman"/>
        </w:rPr>
        <w:t>的遗撒</w:t>
      </w:r>
      <w:r>
        <w:rPr>
          <w:rFonts w:hint="default" w:ascii="Times New Roman" w:hAnsi="Times New Roman" w:cs="Times New Roman"/>
          <w:lang w:eastAsia="zh-CN"/>
        </w:rPr>
        <w:t>、生产废水的跑、冒、滴、漏</w:t>
      </w:r>
      <w:r>
        <w:rPr>
          <w:rFonts w:hint="default" w:ascii="Times New Roman" w:hAnsi="Times New Roman" w:cs="Times New Roman"/>
        </w:rPr>
        <w:t>等。本场地内各区域潜在的特征污染物识别汇总见表3.</w:t>
      </w:r>
      <w:r>
        <w:rPr>
          <w:rFonts w:hint="eastAsia" w:cs="Times New Roman"/>
          <w:lang w:val="en-US" w:eastAsia="zh-CN"/>
        </w:rPr>
        <w:t>7</w:t>
      </w:r>
      <w:r>
        <w:rPr>
          <w:rFonts w:hint="default" w:ascii="Times New Roman" w:hAnsi="Times New Roman" w:cs="Times New Roman"/>
        </w:rPr>
        <w:t>-1。</w:t>
      </w:r>
    </w:p>
    <w:p>
      <w:pPr>
        <w:bidi w:val="0"/>
        <w:ind w:left="0" w:leftChars="0" w:firstLine="0" w:firstLineChars="0"/>
        <w:jc w:val="center"/>
        <w:rPr>
          <w:rFonts w:hint="default" w:ascii="Times New Roman" w:hAnsi="Times New Roman" w:cs="Times New Roman"/>
          <w:b/>
          <w:bCs/>
        </w:rPr>
      </w:pPr>
    </w:p>
    <w:p>
      <w:pPr>
        <w:bidi w:val="0"/>
        <w:ind w:left="0" w:leftChars="0" w:firstLine="0" w:firstLineChars="0"/>
        <w:jc w:val="center"/>
        <w:rPr>
          <w:rFonts w:hint="default" w:ascii="Times New Roman" w:hAnsi="Times New Roman" w:cs="Times New Roman"/>
          <w:b/>
          <w:bCs/>
        </w:rPr>
      </w:pPr>
    </w:p>
    <w:p>
      <w:pPr>
        <w:bidi w:val="0"/>
        <w:ind w:left="0" w:leftChars="0" w:firstLine="0" w:firstLineChars="0"/>
        <w:jc w:val="center"/>
        <w:rPr>
          <w:rFonts w:hint="default" w:ascii="Times New Roman" w:hAnsi="Times New Roman" w:cs="Times New Roman"/>
          <w:b/>
          <w:bCs/>
        </w:rPr>
      </w:pPr>
    </w:p>
    <w:p>
      <w:pPr>
        <w:bidi w:val="0"/>
        <w:ind w:left="0" w:leftChars="0" w:firstLine="0" w:firstLineChars="0"/>
        <w:jc w:val="center"/>
        <w:rPr>
          <w:rFonts w:hint="default" w:ascii="Times New Roman" w:hAnsi="Times New Roman" w:cs="Times New Roman"/>
          <w:b/>
          <w:bCs/>
        </w:rPr>
      </w:pPr>
    </w:p>
    <w:p>
      <w:pPr>
        <w:bidi w:val="0"/>
        <w:ind w:left="0" w:leftChars="0" w:firstLine="0" w:firstLineChars="0"/>
        <w:jc w:val="center"/>
        <w:rPr>
          <w:rFonts w:hint="default" w:ascii="Times New Roman" w:hAnsi="Times New Roman" w:cs="Times New Roman"/>
          <w:b/>
          <w:bCs/>
        </w:rPr>
      </w:pPr>
    </w:p>
    <w:p>
      <w:pPr>
        <w:bidi w:val="0"/>
        <w:ind w:left="0" w:leftChars="0" w:firstLine="0" w:firstLineChars="0"/>
        <w:jc w:val="center"/>
        <w:rPr>
          <w:rFonts w:hint="default" w:ascii="Times New Roman" w:hAnsi="Times New Roman" w:cs="Times New Roman"/>
          <w:b/>
          <w:bCs/>
        </w:rPr>
      </w:pPr>
    </w:p>
    <w:p>
      <w:pPr>
        <w:bidi w:val="0"/>
        <w:ind w:left="0" w:leftChars="0" w:firstLine="0" w:firstLineChars="0"/>
        <w:jc w:val="center"/>
        <w:rPr>
          <w:rFonts w:hint="default" w:ascii="Times New Roman" w:hAnsi="Times New Roman" w:cs="Times New Roman"/>
          <w:b/>
          <w:bCs/>
        </w:rPr>
      </w:pPr>
    </w:p>
    <w:p>
      <w:pPr>
        <w:bidi w:val="0"/>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rPr>
        <w:t>表3.</w:t>
      </w:r>
      <w:r>
        <w:rPr>
          <w:rFonts w:hint="eastAsia" w:cs="Times New Roman"/>
          <w:b/>
          <w:bCs/>
          <w:lang w:val="en-US" w:eastAsia="zh-CN"/>
        </w:rPr>
        <w:t>7</w:t>
      </w:r>
      <w:r>
        <w:rPr>
          <w:rFonts w:hint="default" w:ascii="Times New Roman" w:hAnsi="Times New Roman" w:cs="Times New Roman"/>
          <w:b/>
          <w:bCs/>
        </w:rPr>
        <w:t>-1</w:t>
      </w:r>
      <w:r>
        <w:rPr>
          <w:rFonts w:hint="default" w:ascii="Times New Roman" w:hAnsi="Times New Roman" w:cs="Times New Roman"/>
          <w:b/>
          <w:bCs/>
          <w:lang w:val="en-US" w:eastAsia="zh-CN"/>
        </w:rPr>
        <w:t xml:space="preserve">  </w:t>
      </w:r>
      <w:r>
        <w:rPr>
          <w:rFonts w:hint="default" w:ascii="Times New Roman" w:hAnsi="Times New Roman" w:cs="Times New Roman"/>
          <w:b/>
          <w:bCs/>
        </w:rPr>
        <w:t>各区域潜在的特征污染物识别汇总</w:t>
      </w:r>
      <w:r>
        <w:rPr>
          <w:rFonts w:hint="default" w:ascii="Times New Roman" w:hAnsi="Times New Roman" w:cs="Times New Roman"/>
          <w:b/>
          <w:bCs/>
          <w:lang w:eastAsia="zh-CN"/>
        </w:rPr>
        <w:t>表</w:t>
      </w:r>
    </w:p>
    <w:tbl>
      <w:tblPr>
        <w:tblStyle w:val="17"/>
        <w:tblpPr w:leftFromText="180" w:rightFromText="180" w:vertAnchor="text" w:horzAnchor="page" w:tblpXSpec="center" w:tblpY="4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184"/>
        <w:gridCol w:w="3002"/>
        <w:gridCol w:w="1817"/>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eastAsia="zh-CN"/>
              </w:rPr>
              <w:t>企业内部污染识别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区域</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生产环节</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生产工序</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潜在特征污染物类型</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生产车间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机加工车间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粗加工、精加工</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石油类</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设施的泄露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镀铬车间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镀铬生产线</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PH、重金属、</w:t>
            </w:r>
            <w:r>
              <w:rPr>
                <w:rFonts w:hint="default" w:ascii="Times New Roman" w:hAnsi="Times New Roman" w:eastAsia="宋体" w:cs="Times New Roman"/>
                <w:color w:val="auto"/>
                <w:sz w:val="21"/>
                <w:szCs w:val="21"/>
              </w:rPr>
              <w:t>VOCs、SVOCs</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设施的泄露；管线的跑、冒、滴、漏；原材料的遗撒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镀铁车间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镀铁生产线</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PH、重金属、</w:t>
            </w:r>
            <w:r>
              <w:rPr>
                <w:rFonts w:hint="default" w:ascii="Times New Roman" w:hAnsi="Times New Roman" w:eastAsia="宋体" w:cs="Times New Roman"/>
                <w:color w:val="auto"/>
                <w:sz w:val="21"/>
                <w:szCs w:val="21"/>
              </w:rPr>
              <w:t>VOCs、SVOCs</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设施的泄露；管线的跑、冒、滴、漏；原材料的遗撒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污水处理区</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综合污水处理站和生化处理车间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污水处理</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PH、重金属、</w:t>
            </w:r>
            <w:r>
              <w:rPr>
                <w:rFonts w:hint="default" w:ascii="Times New Roman" w:hAnsi="Times New Roman" w:eastAsia="宋体" w:cs="Times New Roman"/>
                <w:color w:val="auto"/>
                <w:sz w:val="21"/>
                <w:szCs w:val="21"/>
              </w:rPr>
              <w:t>VOCs、SVOCs</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设施的泄露或管线的跑、冒、滴、漏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危废暂存区</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危废库</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危废暂存</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rPr>
              <w:t>重金属、VOCs、SVOCs、pH、TPH</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遗撒或泄露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周边环境污染识别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位置</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企业</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eastAsia="zh-CN"/>
              </w:rPr>
              <w:t>生产工序</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eastAsia="zh-CN"/>
              </w:rPr>
              <w:t>潜在特征污染物类型</w:t>
            </w:r>
          </w:p>
        </w:tc>
        <w:tc>
          <w:tcPr>
            <w:tcW w:w="0" w:type="auto"/>
            <w:vAlign w:val="center"/>
          </w:tcPr>
          <w:p>
            <w:pPr>
              <w:widowControl w:val="0"/>
              <w:spacing w:line="360" w:lineRule="exact"/>
              <w:ind w:firstLine="0" w:firstLineChars="0"/>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eastAsia="zh-CN"/>
              </w:rPr>
              <w:t>对本场地可能的</w:t>
            </w:r>
            <w:r>
              <w:rPr>
                <w:rFonts w:hint="default" w:ascii="Times New Roman" w:hAnsi="Times New Roman" w:eastAsia="宋体" w:cs="Times New Roman"/>
                <w:b/>
                <w:bCs/>
                <w:color w:val="auto"/>
                <w:sz w:val="21"/>
                <w:szCs w:val="21"/>
              </w:rPr>
              <w:t>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厂区北侧</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任县金丰工贸有限公司</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采矿采石设备、液压立柱、通用零部件、地质工程机械、钻机等的生产及维修。</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pH、重金属、TPH等</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土壤淋溶、地表径流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厂区</w:t>
            </w:r>
            <w:r>
              <w:rPr>
                <w:rFonts w:hint="default" w:ascii="Times New Roman" w:hAnsi="Times New Roman" w:eastAsia="宋体" w:cs="Times New Roman"/>
                <w:sz w:val="21"/>
                <w:szCs w:val="21"/>
                <w:lang w:eastAsia="zh-CN"/>
              </w:rPr>
              <w:t>南侧</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河北刑工机械制造有限公司</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滚丝机、缩径机、麻花锚杆机、麻花冷（热）压扁机等冷挤压成型金属机床的生产及销售。</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pH、重金属、TPH等</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土壤淋溶、地表径流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厂区</w:t>
            </w:r>
            <w:r>
              <w:rPr>
                <w:rFonts w:hint="default" w:ascii="Times New Roman" w:hAnsi="Times New Roman" w:eastAsia="宋体" w:cs="Times New Roman"/>
                <w:sz w:val="21"/>
                <w:szCs w:val="21"/>
                <w:lang w:eastAsia="zh-CN"/>
              </w:rPr>
              <w:t>西侧</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邢台顺达铁路配件有限公司</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铁路配件的生产、加工，主要包括橡胶制品、塑料制品、石棉制品等。</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pH、重金属、TPH、VOCs、SVOCs等</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土壤淋溶、地表径流、大气沉降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厂区</w:t>
            </w:r>
            <w:r>
              <w:rPr>
                <w:rFonts w:hint="default" w:ascii="Times New Roman" w:hAnsi="Times New Roman" w:eastAsia="宋体" w:cs="Times New Roman"/>
                <w:sz w:val="21"/>
                <w:szCs w:val="21"/>
                <w:lang w:eastAsia="zh-CN"/>
              </w:rPr>
              <w:t>东侧</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原邢台市农药厂</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辛硫磷原药; 乙基氯化物; 各种制剂等的生产。</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pH、VOCs、SVOCs等</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土壤淋溶、地表径流</w:t>
            </w:r>
          </w:p>
        </w:tc>
      </w:tr>
    </w:tbl>
    <w:p>
      <w:pPr>
        <w:ind w:firstLine="0" w:firstLineChars="0"/>
        <w:rPr>
          <w:rFonts w:hint="default" w:ascii="Times New Roman" w:hAnsi="Times New Roman" w:eastAsia="宋体" w:cs="Times New Roman"/>
          <w:b/>
          <w:bCs/>
          <w:color w:val="auto"/>
          <w:kern w:val="0"/>
          <w:sz w:val="24"/>
          <w:szCs w:val="24"/>
          <w:lang w:val="en-US" w:eastAsia="zh-CN" w:bidi="ar"/>
        </w:rPr>
      </w:pPr>
    </w:p>
    <w:p>
      <w:pPr>
        <w:bidi w:val="0"/>
        <w:ind w:firstLine="0"/>
        <w:rPr>
          <w:rFonts w:hint="default" w:ascii="Times New Roman" w:hAnsi="Times New Roman" w:eastAsia="宋体" w:cs="Times New Roman"/>
          <w:color w:val="auto"/>
          <w:sz w:val="30"/>
          <w:szCs w:val="30"/>
          <w:lang w:val="en-US" w:eastAsia="zh-CN"/>
        </w:rPr>
      </w:pPr>
      <w:bookmarkStart w:id="89" w:name="_Toc2619"/>
      <w:bookmarkStart w:id="90" w:name="_Toc30789"/>
      <w:r>
        <w:rPr>
          <w:rFonts w:hint="default" w:ascii="Times New Roman" w:hAnsi="Times New Roman" w:eastAsia="宋体" w:cs="Times New Roman"/>
          <w:color w:val="auto"/>
          <w:sz w:val="30"/>
          <w:szCs w:val="30"/>
          <w:lang w:val="en-US" w:eastAsia="zh-CN"/>
        </w:rPr>
        <w:br w:type="page"/>
      </w:r>
    </w:p>
    <w:p>
      <w:pPr>
        <w:pStyle w:val="4"/>
        <w:pageBreakBefore w:val="0"/>
        <w:kinsoku/>
        <w:wordWrap/>
        <w:overflowPunct/>
        <w:topLinePunct w:val="0"/>
        <w:bidi w:val="0"/>
        <w:spacing w:line="360" w:lineRule="auto"/>
        <w:ind w:firstLine="0"/>
        <w:rPr>
          <w:rFonts w:hint="default" w:ascii="Times New Roman" w:hAnsi="Times New Roman" w:cs="Times New Roman"/>
          <w:lang w:val="en-US" w:eastAsia="zh-CN"/>
        </w:rPr>
      </w:pPr>
      <w:bookmarkStart w:id="91" w:name="_Toc30497"/>
      <w:r>
        <w:rPr>
          <w:rFonts w:hint="default" w:ascii="Times New Roman" w:hAnsi="Times New Roman" w:cs="Times New Roman"/>
          <w:lang w:val="en-US" w:eastAsia="zh-CN"/>
        </w:rPr>
        <w:t>4 勘探采样与检测分析</w:t>
      </w:r>
      <w:bookmarkEnd w:id="89"/>
      <w:bookmarkEnd w:id="91"/>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年11月</w:t>
      </w:r>
      <w:r>
        <w:rPr>
          <w:rFonts w:hint="default" w:ascii="Times New Roman" w:hAnsi="Times New Roman" w:eastAsia="宋体" w:cs="Times New Roman"/>
          <w:color w:val="auto"/>
          <w:sz w:val="24"/>
          <w:szCs w:val="24"/>
          <w:lang w:val="en-US" w:eastAsia="zh-CN"/>
        </w:rPr>
        <w:t>1</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eastAsia="zh-CN"/>
        </w:rPr>
        <w:t>江苏实朴检测服务</w:t>
      </w:r>
      <w:r>
        <w:rPr>
          <w:rFonts w:hint="default" w:ascii="Times New Roman" w:hAnsi="Times New Roman" w:eastAsia="宋体" w:cs="Times New Roman"/>
          <w:color w:val="auto"/>
          <w:sz w:val="24"/>
          <w:szCs w:val="24"/>
        </w:rPr>
        <w:t>有限公司采样人员对场地内土壤进行了现场钻探取样工作，采集到所有样品运送至该公司进行检测。</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92" w:name="_Toc15529"/>
      <w:bookmarkStart w:id="93" w:name="_Toc24360"/>
      <w:bookmarkStart w:id="94" w:name="_Toc8716"/>
      <w:bookmarkStart w:id="95" w:name="_Toc19731"/>
      <w:bookmarkStart w:id="96" w:name="_Toc10334"/>
      <w:bookmarkStart w:id="97" w:name="_Toc12533"/>
      <w:bookmarkStart w:id="98" w:name="_Toc23846"/>
      <w:bookmarkStart w:id="99" w:name="_Toc7542"/>
      <w:bookmarkStart w:id="100" w:name="_Toc29304"/>
      <w:bookmarkStart w:id="101" w:name="_Toc23123"/>
      <w:bookmarkStart w:id="102" w:name="_Toc723"/>
      <w:bookmarkStart w:id="103" w:name="_Toc19215"/>
      <w:bookmarkStart w:id="104" w:name="_Toc28185"/>
      <w:bookmarkStart w:id="105" w:name="_Toc4843"/>
      <w:bookmarkStart w:id="106" w:name="_Toc30648"/>
      <w:r>
        <w:rPr>
          <w:rFonts w:hint="default" w:ascii="Times New Roman" w:hAnsi="Times New Roman" w:eastAsia="宋体" w:cs="Times New Roman"/>
          <w:color w:val="auto"/>
          <w:sz w:val="28"/>
          <w:szCs w:val="28"/>
          <w:lang w:val="en-US" w:eastAsia="zh-CN"/>
        </w:rPr>
        <w:t>4.1</w:t>
      </w:r>
      <w:bookmarkEnd w:id="92"/>
      <w:bookmarkEnd w:id="93"/>
      <w:bookmarkEnd w:id="94"/>
      <w:bookmarkEnd w:id="95"/>
      <w:bookmarkEnd w:id="96"/>
      <w:bookmarkEnd w:id="97"/>
      <w:bookmarkEnd w:id="98"/>
      <w:bookmarkEnd w:id="99"/>
      <w:bookmarkEnd w:id="100"/>
      <w:bookmarkEnd w:id="101"/>
      <w:bookmarkEnd w:id="102"/>
      <w:bookmarkEnd w:id="103"/>
      <w:bookmarkEnd w:id="104"/>
      <w:r>
        <w:rPr>
          <w:rFonts w:hint="default" w:ascii="Times New Roman" w:hAnsi="Times New Roman" w:eastAsia="宋体" w:cs="Times New Roman"/>
          <w:color w:val="auto"/>
          <w:sz w:val="28"/>
          <w:szCs w:val="28"/>
          <w:lang w:val="en-US" w:eastAsia="zh-CN"/>
        </w:rPr>
        <w:t xml:space="preserve"> 布点区域筛选</w:t>
      </w:r>
      <w:bookmarkEnd w:id="105"/>
      <w:bookmarkEnd w:id="106"/>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07" w:name="_Toc23107"/>
      <w:bookmarkStart w:id="108" w:name="_Toc22062"/>
      <w:bookmarkStart w:id="109" w:name="_Toc17317"/>
      <w:bookmarkStart w:id="110" w:name="_Toc9318"/>
      <w:bookmarkStart w:id="111" w:name="_Toc26017"/>
      <w:bookmarkStart w:id="112" w:name="_Toc29547"/>
      <w:r>
        <w:rPr>
          <w:rFonts w:hint="default" w:ascii="Times New Roman" w:hAnsi="Times New Roman" w:eastAsia="宋体" w:cs="Times New Roman"/>
          <w:color w:val="auto"/>
          <w:lang w:val="en-US" w:eastAsia="zh-CN"/>
        </w:rPr>
        <w:t xml:space="preserve">4.1.1 </w:t>
      </w:r>
      <w:bookmarkEnd w:id="107"/>
      <w:bookmarkEnd w:id="108"/>
      <w:bookmarkEnd w:id="109"/>
      <w:bookmarkEnd w:id="110"/>
      <w:bookmarkEnd w:id="111"/>
      <w:r>
        <w:rPr>
          <w:rFonts w:hint="default" w:ascii="Times New Roman" w:hAnsi="Times New Roman" w:eastAsia="宋体" w:cs="Times New Roman"/>
          <w:color w:val="auto"/>
          <w:lang w:val="en-US" w:eastAsia="zh-CN"/>
        </w:rPr>
        <w:t>土壤布点区域筛选</w:t>
      </w:r>
      <w:bookmarkEnd w:id="112"/>
    </w:p>
    <w:p>
      <w:pPr>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（1）布点依据</w:t>
      </w:r>
    </w:p>
    <w:p>
      <w:pPr>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根据《场地环境调查技术导则》（HJ25.1-2014）、《土壤环境监测技术规范》（HJ/T166-2004）、《场地环境监测技术导则》（HJ25.2-2014）以及《土壤环境质量  建设用地土壤污染风险管控标准》（报批稿）</w:t>
      </w:r>
      <w:r>
        <w:rPr>
          <w:rFonts w:hint="default" w:ascii="Times New Roman" w:hAnsi="Times New Roman" w:cs="Times New Roman"/>
          <w:kern w:val="0"/>
          <w:sz w:val="24"/>
          <w:lang w:eastAsia="zh-CN"/>
        </w:rPr>
        <w:t>及</w:t>
      </w:r>
      <w:r>
        <w:rPr>
          <w:rFonts w:hint="default" w:ascii="Times New Roman" w:hAnsi="Times New Roman" w:eastAsia="宋体" w:cs="Times New Roman"/>
          <w:sz w:val="24"/>
          <w:szCs w:val="24"/>
          <w:lang w:val="en-US" w:eastAsia="zh-CN"/>
        </w:rPr>
        <w:t>《在产企业土壤及地下水自行监测技术指南》（征求意见稿）</w:t>
      </w:r>
      <w:r>
        <w:rPr>
          <w:rFonts w:hint="default" w:ascii="Times New Roman" w:hAnsi="Times New Roman" w:eastAsia="宋体" w:cs="Times New Roman"/>
          <w:color w:val="auto"/>
          <w:kern w:val="0"/>
          <w:sz w:val="24"/>
        </w:rPr>
        <w:t>等相关规范文件，结合污染识别阶段收集到的资料与信息，确定本次初步调查的采样布点方案计划</w:t>
      </w:r>
      <w:r>
        <w:rPr>
          <w:rFonts w:hint="default" w:ascii="Times New Roman" w:hAnsi="Times New Roman" w:eastAsia="宋体" w:cs="Times New Roman"/>
          <w:color w:val="auto"/>
          <w:sz w:val="24"/>
        </w:rPr>
        <w:t>。</w:t>
      </w:r>
    </w:p>
    <w:p>
      <w:pPr>
        <w:pageBreakBefore w:val="0"/>
        <w:numPr>
          <w:ilvl w:val="0"/>
          <w:numId w:val="4"/>
        </w:numPr>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布点原则</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土壤布点应依据相关技术规范的要求，识别潜在污染区域，并分析潜在污染区域存在污染物对土壤造成污染的可能性。</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布点优先设置在布点区域内疑似污染源可能对土壤环境产生影响的区域，如地表裸露、地面无防渗层或防渗层破裂处；并尽量靠近疑似污染源所在位置，如生产设施、罐槽、污染泄露点等，点位布设应遵循不影响企业正常生产且不造成安全隐患与二次污染的原则，若污染源附近不符合采样条件，可以对点位进行适当调整，但采样点应尽可能接近疑似污染源。</w:t>
      </w:r>
    </w:p>
    <w:p>
      <w:pPr>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本项目初步调查阶段充分利用前期的场地污染识别结果，</w:t>
      </w:r>
      <w:r>
        <w:rPr>
          <w:rFonts w:hint="default" w:ascii="Times New Roman" w:hAnsi="Times New Roman" w:eastAsia="宋体" w:cs="Times New Roman"/>
          <w:color w:val="auto"/>
          <w:kern w:val="0"/>
          <w:sz w:val="24"/>
          <w:highlight w:val="none"/>
        </w:rPr>
        <w:t>针对场地</w:t>
      </w:r>
      <w:r>
        <w:rPr>
          <w:rFonts w:hint="default" w:ascii="Times New Roman" w:hAnsi="Times New Roman" w:eastAsia="宋体" w:cs="Times New Roman"/>
          <w:color w:val="auto"/>
          <w:kern w:val="0"/>
          <w:sz w:val="24"/>
          <w:highlight w:val="none"/>
          <w:lang w:eastAsia="zh-CN"/>
        </w:rPr>
        <w:t>内</w:t>
      </w:r>
      <w:r>
        <w:rPr>
          <w:rFonts w:hint="default" w:ascii="Times New Roman" w:hAnsi="Times New Roman" w:eastAsia="宋体" w:cs="Times New Roman"/>
          <w:color w:val="auto"/>
          <w:sz w:val="24"/>
          <w:szCs w:val="24"/>
          <w:highlight w:val="none"/>
          <w:lang w:eastAsia="zh-CN"/>
        </w:rPr>
        <w:t>生产区、污水处理区域以及污水可能渗漏区域</w:t>
      </w:r>
      <w:r>
        <w:rPr>
          <w:rFonts w:hint="default" w:ascii="Times New Roman" w:hAnsi="Times New Roman" w:eastAsia="宋体" w:cs="Times New Roman"/>
          <w:color w:val="auto"/>
          <w:kern w:val="0"/>
          <w:sz w:val="24"/>
          <w:highlight w:val="none"/>
        </w:rPr>
        <w:t>等</w:t>
      </w:r>
      <w:r>
        <w:rPr>
          <w:rFonts w:hint="default" w:ascii="Times New Roman" w:hAnsi="Times New Roman" w:eastAsia="宋体" w:cs="Times New Roman"/>
          <w:color w:val="auto"/>
          <w:kern w:val="0"/>
          <w:sz w:val="24"/>
        </w:rPr>
        <w:t>区域进行判断性布点，其检测因子在考虑《土壤环境质量 建设用地土壤污染风险管控标准》（报批稿）中的基本项目（必测项）的基础上，根据污染识别所确定的不同区域潜在污染特征，判断性点位同时考虑其他项目（选测项）以及根据污染识别所确定的特征污染因子</w:t>
      </w:r>
      <w:r>
        <w:rPr>
          <w:rFonts w:hint="default" w:ascii="Times New Roman" w:hAnsi="Times New Roman" w:eastAsia="宋体" w:cs="Times New Roman"/>
          <w:color w:val="auto"/>
          <w:sz w:val="24"/>
        </w:rPr>
        <w:t>。</w:t>
      </w:r>
    </w:p>
    <w:p>
      <w:pPr>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（3）采样深度确定原则</w:t>
      </w:r>
    </w:p>
    <w:p>
      <w:pPr>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为确认污染物在场地土壤中的垂直分布情况及污染深度，本项目调查将采集分层土壤样品，包括表层土壤样品和深层土壤样品。具体的采样层次和采样深度则需根据场地土层的分布和岩性特征、污染源的位置（地上或地下）、污染物在土壤中的垂直迁移特性、地面扰动情况等因素决定。原则上表层土壤样品在0~1.5m范围内采集；深层</w:t>
      </w:r>
      <w:r>
        <w:rPr>
          <w:rFonts w:hint="default" w:ascii="Times New Roman" w:hAnsi="Times New Roman" w:eastAsia="宋体" w:cs="Times New Roman"/>
          <w:color w:val="auto"/>
          <w:sz w:val="24"/>
          <w:highlight w:val="none"/>
        </w:rPr>
        <w:t>土壤样品则依据本场地污染识别阶段对场地土层分布相关资料的分析、结合场地勘探过程每个采样点土层分布的实际情况进行采集，至少每个大层采集一个土壤样品；当同一土层厚度超过3</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m时，至少每3m采集一个土壤样品。具体的采样位置应根据便携式XRF检测仪等现场监测设备的监测结果，结合土壤的颜色、气味等其他相关因素进行综合判断，采集污染较重位置的层间土壤样品，而且确保最终采样深度的土壤样品未受污染。</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bookmarkStart w:id="113" w:name="_Toc2833"/>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3）本项目土壤采样点的布设</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本项目重点关注区域包括</w:t>
      </w:r>
      <w:r>
        <w:rPr>
          <w:rFonts w:hint="default" w:ascii="Times New Roman" w:hAnsi="Times New Roman" w:eastAsia="宋体" w:cs="Times New Roman"/>
          <w:color w:val="auto"/>
          <w:sz w:val="24"/>
          <w:szCs w:val="24"/>
          <w:lang w:eastAsia="zh-CN"/>
        </w:rPr>
        <w:t>生产区、污水处理</w:t>
      </w:r>
      <w:r>
        <w:rPr>
          <w:rFonts w:hint="default" w:ascii="Times New Roman" w:hAnsi="Times New Roman" w:eastAsia="宋体" w:cs="Times New Roman"/>
          <w:color w:val="auto"/>
          <w:sz w:val="24"/>
          <w:szCs w:val="24"/>
          <w:highlight w:val="none"/>
          <w:lang w:eastAsia="zh-CN"/>
        </w:rPr>
        <w:t>区域以及污水可能渗漏区域</w:t>
      </w:r>
      <w:r>
        <w:rPr>
          <w:rFonts w:hint="default" w:ascii="Times New Roman" w:hAnsi="Times New Roman" w:eastAsia="宋体" w:cs="Times New Roman"/>
          <w:color w:val="auto"/>
          <w:kern w:val="0"/>
          <w:sz w:val="24"/>
          <w:highlight w:val="none"/>
        </w:rPr>
        <w:t>等</w:t>
      </w:r>
      <w:r>
        <w:rPr>
          <w:rFonts w:hint="default" w:ascii="Times New Roman" w:hAnsi="Times New Roman" w:eastAsia="宋体" w:cs="Times New Roman"/>
          <w:color w:val="auto"/>
          <w:kern w:val="0"/>
          <w:sz w:val="24"/>
        </w:rPr>
        <w:t>区域</w:t>
      </w:r>
      <w:r>
        <w:rPr>
          <w:rFonts w:hint="default" w:ascii="Times New Roman" w:hAnsi="Times New Roman" w:eastAsia="宋体" w:cs="Times New Roman"/>
          <w:color w:val="auto"/>
          <w:kern w:val="0"/>
          <w:sz w:val="24"/>
          <w:lang w:val="en-US" w:eastAsia="zh-CN"/>
        </w:rPr>
        <w:t>。针对重点区域及场地生产设施位置等实际情况，</w:t>
      </w:r>
      <w:r>
        <w:rPr>
          <w:rFonts w:hint="default" w:ascii="Times New Roman" w:hAnsi="Times New Roman" w:eastAsia="宋体" w:cs="Times New Roman"/>
          <w:color w:val="auto"/>
          <w:sz w:val="24"/>
          <w:szCs w:val="24"/>
        </w:rPr>
        <w:t>本次</w:t>
      </w:r>
      <w:r>
        <w:rPr>
          <w:rFonts w:hint="default" w:ascii="Times New Roman" w:hAnsi="Times New Roman" w:eastAsia="宋体" w:cs="Times New Roman"/>
          <w:color w:val="auto"/>
          <w:sz w:val="24"/>
          <w:szCs w:val="24"/>
          <w:lang w:eastAsia="zh-CN"/>
        </w:rPr>
        <w:t>调查</w:t>
      </w:r>
      <w:r>
        <w:rPr>
          <w:rFonts w:hint="default" w:ascii="Times New Roman" w:hAnsi="Times New Roman" w:eastAsia="宋体" w:cs="Times New Roman"/>
          <w:color w:val="auto"/>
          <w:sz w:val="24"/>
          <w:szCs w:val="24"/>
        </w:rPr>
        <w:t>钻探点位分别布置</w:t>
      </w:r>
      <w:r>
        <w:rPr>
          <w:rFonts w:hint="default" w:ascii="Times New Roman" w:hAnsi="Times New Roman" w:eastAsia="宋体" w:cs="Times New Roman"/>
          <w:color w:val="auto"/>
          <w:sz w:val="24"/>
          <w:szCs w:val="24"/>
          <w:lang w:eastAsia="zh-CN"/>
        </w:rPr>
        <w:t>在生产车间周边、污水处理站周边等区域中重点设施处。根据本项目水文地质勘察资料及现场钻探情况，本场地各点位实际钻探深度约</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m，终孔为粉粘层，具体详见附件。</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14" w:name="_Toc9884"/>
      <w:r>
        <w:rPr>
          <w:rFonts w:hint="default" w:ascii="Times New Roman" w:hAnsi="Times New Roman" w:eastAsia="宋体" w:cs="Times New Roman"/>
          <w:color w:val="auto"/>
          <w:lang w:val="en-US" w:eastAsia="zh-CN"/>
        </w:rPr>
        <w:t>4.1.2 地下水布点区域筛选</w:t>
      </w:r>
      <w:bookmarkEnd w:id="114"/>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采样点布设原则与方法</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根据《在产企业土壤及地下水自行监测技术指南》（征求意见稿）中规定</w:t>
      </w:r>
      <w:r>
        <w:rPr>
          <w:rFonts w:hint="default" w:ascii="Times New Roman" w:hAnsi="Times New Roman" w:eastAsia="宋体" w:cs="Times New Roman"/>
          <w:bCs/>
          <w:color w:val="auto"/>
          <w:sz w:val="24"/>
        </w:rPr>
        <w:t>地下水监测井的布点应</w:t>
      </w:r>
      <w:r>
        <w:rPr>
          <w:rFonts w:hint="default" w:ascii="Times New Roman" w:hAnsi="Times New Roman" w:eastAsia="宋体" w:cs="Times New Roman"/>
          <w:bCs/>
          <w:color w:val="auto"/>
          <w:sz w:val="24"/>
          <w:lang w:eastAsia="zh-CN"/>
        </w:rPr>
        <w:t>布设在污染物迁移途径的下游方向。原则上每个存在地下水污染隐患的重点设施周边或重点区域应布设至少</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eastAsia="zh-CN"/>
        </w:rPr>
        <w:t>个地下水监测井，具体数量可根据设施大小、区域内设施数量及污染物扩散途径等实际情况进行适当调整。监测井在垂直方向的</w:t>
      </w:r>
      <w:r>
        <w:rPr>
          <w:rFonts w:hint="default" w:ascii="Times New Roman" w:hAnsi="Times New Roman" w:eastAsia="宋体" w:cs="Times New Roman"/>
          <w:bCs/>
          <w:color w:val="auto"/>
          <w:sz w:val="24"/>
        </w:rPr>
        <w:t>深度应根据</w:t>
      </w:r>
      <w:r>
        <w:rPr>
          <w:rFonts w:hint="default" w:ascii="Times New Roman" w:hAnsi="Times New Roman" w:eastAsia="宋体" w:cs="Times New Roman"/>
          <w:bCs/>
          <w:color w:val="auto"/>
          <w:sz w:val="24"/>
          <w:lang w:eastAsia="zh-CN"/>
        </w:rPr>
        <w:t>污染物性质、含水层厚度以及地层情况</w:t>
      </w:r>
      <w:r>
        <w:rPr>
          <w:rFonts w:hint="default" w:ascii="Times New Roman" w:hAnsi="Times New Roman" w:eastAsia="宋体" w:cs="Times New Roman"/>
          <w:bCs/>
          <w:color w:val="auto"/>
          <w:sz w:val="24"/>
        </w:rPr>
        <w:t>确定</w:t>
      </w:r>
      <w:r>
        <w:rPr>
          <w:rFonts w:hint="default" w:ascii="Times New Roman" w:hAnsi="Times New Roman" w:eastAsia="宋体" w:cs="Times New Roman"/>
          <w:bCs/>
          <w:color w:val="auto"/>
          <w:sz w:val="24"/>
          <w:lang w:eastAsia="zh-CN"/>
        </w:rPr>
        <w:t>，同时考虑季节性的水位波动设置</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eastAsia="zh-CN"/>
        </w:rPr>
        <w:t>地下水监测以调查第一含水层（潜水）为主。</w:t>
      </w:r>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）本项目地下水</w:t>
      </w:r>
      <w:r>
        <w:rPr>
          <w:rFonts w:hint="default" w:ascii="Times New Roman" w:hAnsi="Times New Roman" w:eastAsia="宋体" w:cs="Times New Roman"/>
          <w:color w:val="auto"/>
        </w:rPr>
        <w:t>采样点</w:t>
      </w:r>
      <w:r>
        <w:rPr>
          <w:rFonts w:hint="default" w:ascii="Times New Roman" w:hAnsi="Times New Roman" w:eastAsia="宋体" w:cs="Times New Roman"/>
          <w:color w:val="auto"/>
          <w:lang w:eastAsia="zh-CN"/>
        </w:rPr>
        <w:t>的</w:t>
      </w:r>
      <w:r>
        <w:rPr>
          <w:rFonts w:hint="default" w:ascii="Times New Roman" w:hAnsi="Times New Roman" w:eastAsia="宋体" w:cs="Times New Roman"/>
          <w:color w:val="auto"/>
        </w:rPr>
        <w:t>布设</w:t>
      </w:r>
    </w:p>
    <w:p>
      <w:pPr>
        <w:keepNext w:val="0"/>
        <w:keepLines w:val="0"/>
        <w:pageBreakBefore w:val="0"/>
        <w:widowControl/>
        <w:suppressLineNumbers w:val="0"/>
        <w:kinsoku/>
        <w:wordWrap/>
        <w:overflowPunct/>
        <w:topLinePunct w:val="0"/>
        <w:bidi w:val="0"/>
        <w:spacing w:line="360" w:lineRule="auto"/>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color w:val="auto"/>
          <w:sz w:val="24"/>
          <w:szCs w:val="24"/>
        </w:rPr>
        <w:t>根据水文地质勘察资料</w:t>
      </w:r>
      <w:r>
        <w:rPr>
          <w:rFonts w:hint="default" w:ascii="Times New Roman" w:hAnsi="Times New Roman" w:eastAsia="宋体" w:cs="Times New Roman"/>
          <w:color w:val="auto"/>
          <w:sz w:val="24"/>
          <w:szCs w:val="24"/>
          <w:lang w:eastAsia="zh-CN"/>
        </w:rPr>
        <w:t>及现场勘探结果</w:t>
      </w:r>
      <w:r>
        <w:rPr>
          <w:rFonts w:hint="default" w:ascii="Times New Roman" w:hAnsi="Times New Roman" w:eastAsia="宋体" w:cs="Times New Roman"/>
          <w:color w:val="auto"/>
          <w:sz w:val="24"/>
          <w:szCs w:val="24"/>
        </w:rPr>
        <w:t>可知</w:t>
      </w:r>
      <w:r>
        <w:rPr>
          <w:rFonts w:hint="default" w:ascii="Times New Roman" w:hAnsi="Times New Roman" w:eastAsia="宋体" w:cs="Times New Roman"/>
          <w:bCs/>
          <w:color w:val="auto"/>
          <w:sz w:val="24"/>
          <w:lang w:eastAsia="zh-CN"/>
        </w:rPr>
        <w:t>场地区域地下水埋深较深，深度可达</w:t>
      </w:r>
      <w:r>
        <w:rPr>
          <w:rFonts w:hint="default" w:ascii="Times New Roman" w:hAnsi="Times New Roman" w:eastAsia="宋体" w:cs="Times New Roman"/>
          <w:bCs/>
          <w:color w:val="auto"/>
          <w:sz w:val="24"/>
          <w:lang w:val="en-US" w:eastAsia="zh-CN"/>
        </w:rPr>
        <w:t>40 m，</w:t>
      </w:r>
      <w:r>
        <w:rPr>
          <w:rFonts w:hint="default" w:ascii="Times New Roman" w:hAnsi="Times New Roman" w:eastAsia="宋体" w:cs="Times New Roman"/>
          <w:color w:val="auto"/>
          <w:sz w:val="24"/>
          <w:szCs w:val="24"/>
        </w:rPr>
        <w:t>地下水流向</w:t>
      </w:r>
      <w:r>
        <w:rPr>
          <w:rFonts w:hint="default" w:ascii="Times New Roman" w:hAnsi="Times New Roman" w:eastAsia="宋体" w:cs="Times New Roman"/>
          <w:color w:val="auto"/>
          <w:sz w:val="24"/>
          <w:szCs w:val="24"/>
          <w:lang w:eastAsia="zh-CN"/>
        </w:rPr>
        <w:t>自西</w:t>
      </w:r>
      <w:r>
        <w:rPr>
          <w:rFonts w:hint="default" w:ascii="Times New Roman" w:hAnsi="Times New Roman" w:eastAsia="宋体" w:cs="Times New Roman"/>
          <w:color w:val="auto"/>
          <w:sz w:val="24"/>
          <w:szCs w:val="24"/>
        </w:rPr>
        <w:t>向</w:t>
      </w:r>
      <w:r>
        <w:rPr>
          <w:rFonts w:hint="default" w:ascii="Times New Roman" w:hAnsi="Times New Roman" w:eastAsia="宋体" w:cs="Times New Roman"/>
          <w:color w:val="auto"/>
          <w:sz w:val="24"/>
          <w:szCs w:val="24"/>
          <w:lang w:eastAsia="zh-CN"/>
        </w:rPr>
        <w:t>东</w:t>
      </w:r>
      <w:r>
        <w:rPr>
          <w:rFonts w:hint="default" w:ascii="Times New Roman" w:hAnsi="Times New Roman" w:eastAsia="宋体" w:cs="Times New Roman"/>
          <w:bCs/>
          <w:color w:val="auto"/>
          <w:sz w:val="24"/>
          <w:lang w:val="en-US" w:eastAsia="zh-CN"/>
        </w:rPr>
        <w:t>。考虑本项目通过评审的专家咨询意见及重点污染物六价铬迁移性</w:t>
      </w:r>
      <w:r>
        <w:rPr>
          <w:rFonts w:hint="default" w:ascii="Times New Roman" w:hAnsi="Times New Roman" w:eastAsia="宋体" w:cs="Times New Roman"/>
          <w:bCs/>
          <w:color w:val="auto"/>
          <w:sz w:val="24"/>
        </w:rPr>
        <w:t>，在</w:t>
      </w:r>
      <w:r>
        <w:rPr>
          <w:rFonts w:hint="default" w:ascii="Times New Roman" w:hAnsi="Times New Roman" w:eastAsia="宋体" w:cs="Times New Roman"/>
          <w:bCs/>
          <w:color w:val="auto"/>
          <w:sz w:val="24"/>
          <w:lang w:eastAsia="zh-CN"/>
        </w:rPr>
        <w:t>本</w:t>
      </w:r>
      <w:r>
        <w:rPr>
          <w:rFonts w:hint="default" w:ascii="Times New Roman" w:hAnsi="Times New Roman" w:eastAsia="宋体" w:cs="Times New Roman"/>
          <w:bCs/>
          <w:color w:val="auto"/>
          <w:sz w:val="24"/>
        </w:rPr>
        <w:t>场</w:t>
      </w:r>
      <w:r>
        <w:rPr>
          <w:rFonts w:hint="default" w:ascii="Times New Roman" w:hAnsi="Times New Roman" w:eastAsia="宋体" w:cs="Times New Roman"/>
          <w:bCs/>
          <w:color w:val="auto"/>
          <w:sz w:val="24"/>
          <w:lang w:eastAsia="zh-CN"/>
        </w:rPr>
        <w:t>区下游</w:t>
      </w:r>
      <w:r>
        <w:rPr>
          <w:rFonts w:hint="default" w:ascii="Times New Roman" w:hAnsi="Times New Roman" w:eastAsia="宋体" w:cs="Times New Roman"/>
          <w:bCs/>
          <w:color w:val="auto"/>
          <w:sz w:val="24"/>
        </w:rPr>
        <w:t>布设</w:t>
      </w:r>
      <w:r>
        <w:rPr>
          <w:rFonts w:hint="default" w:ascii="Times New Roman" w:hAnsi="Times New Roman" w:eastAsia="宋体" w:cs="Times New Roman"/>
          <w:bCs/>
          <w:color w:val="auto"/>
          <w:sz w:val="24"/>
          <w:lang w:val="en-US" w:eastAsia="zh-CN"/>
        </w:rPr>
        <w:t>1口地下水</w:t>
      </w:r>
      <w:r>
        <w:rPr>
          <w:rFonts w:hint="default" w:ascii="Times New Roman" w:hAnsi="Times New Roman" w:eastAsia="宋体" w:cs="Times New Roman"/>
          <w:bCs/>
          <w:color w:val="auto"/>
          <w:sz w:val="24"/>
        </w:rPr>
        <w:t>监测井。</w:t>
      </w:r>
      <w:bookmarkStart w:id="115" w:name="_Toc32343"/>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116" w:name="_Toc32286"/>
      <w:r>
        <w:rPr>
          <w:rFonts w:hint="default" w:ascii="Times New Roman" w:hAnsi="Times New Roman" w:eastAsia="宋体" w:cs="Times New Roman"/>
          <w:color w:val="auto"/>
          <w:sz w:val="28"/>
          <w:szCs w:val="28"/>
          <w:lang w:val="en-US" w:eastAsia="zh-CN"/>
        </w:rPr>
        <w:t>4.2 勘探采样与检测分析</w:t>
      </w:r>
      <w:bookmarkEnd w:id="113"/>
      <w:bookmarkEnd w:id="115"/>
      <w:bookmarkEnd w:id="116"/>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17" w:name="_Toc15989"/>
      <w:bookmarkStart w:id="118" w:name="_Toc13530"/>
      <w:bookmarkStart w:id="119" w:name="_Toc14467"/>
      <w:r>
        <w:rPr>
          <w:rFonts w:hint="default" w:ascii="Times New Roman" w:hAnsi="Times New Roman" w:eastAsia="宋体" w:cs="Times New Roman"/>
          <w:color w:val="auto"/>
          <w:lang w:val="en-US" w:eastAsia="zh-CN"/>
        </w:rPr>
        <w:t>4.2.1 采样点信息</w:t>
      </w:r>
      <w:bookmarkEnd w:id="117"/>
      <w:bookmarkEnd w:id="118"/>
      <w:bookmarkEnd w:id="119"/>
    </w:p>
    <w:p>
      <w:pPr>
        <w:ind w:firstLine="480"/>
        <w:rPr>
          <w:rFonts w:hint="default" w:ascii="Times New Roman" w:hAnsi="Times New Roman" w:cs="Times New Roman"/>
          <w:lang w:val="en-US" w:eastAsia="zh-CN"/>
        </w:rPr>
      </w:pPr>
      <w:r>
        <w:rPr>
          <w:rFonts w:hint="default" w:ascii="Times New Roman" w:hAnsi="Times New Roman" w:eastAsia="宋体" w:cs="Times New Roman"/>
          <w:color w:val="auto"/>
          <w:sz w:val="24"/>
          <w:szCs w:val="24"/>
        </w:rPr>
        <w:t>根据最终筛选的布点区域，结合现场实际情况，</w:t>
      </w:r>
      <w:r>
        <w:rPr>
          <w:rFonts w:hint="default" w:ascii="Times New Roman" w:hAnsi="Times New Roman" w:eastAsia="宋体" w:cs="Times New Roman"/>
          <w:color w:val="auto"/>
          <w:sz w:val="24"/>
          <w:szCs w:val="24"/>
          <w:lang w:eastAsia="zh-CN"/>
        </w:rPr>
        <w:t>布置</w:t>
      </w:r>
      <w:r>
        <w:rPr>
          <w:rFonts w:hint="default" w:ascii="Times New Roman" w:hAnsi="Times New Roman" w:eastAsia="宋体" w:cs="Times New Roman"/>
          <w:color w:val="auto"/>
          <w:sz w:val="24"/>
          <w:szCs w:val="24"/>
          <w:lang w:val="en-US" w:eastAsia="zh-CN"/>
        </w:rPr>
        <w:t>5个土壤采样点和1个地下水采样点。</w:t>
      </w:r>
      <w:r>
        <w:rPr>
          <w:rFonts w:hint="default" w:ascii="Times New Roman" w:hAnsi="Times New Roman" w:eastAsia="宋体" w:cs="Times New Roman"/>
          <w:color w:val="auto"/>
          <w:sz w:val="24"/>
          <w:szCs w:val="24"/>
          <w:highlight w:val="none"/>
          <w:lang w:eastAsia="zh-CN"/>
        </w:rPr>
        <w:t>其中办公外租区布设</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lang w:val="en-US" w:eastAsia="zh-CN"/>
        </w:rPr>
        <w:t>土壤采样</w:t>
      </w:r>
      <w:r>
        <w:rPr>
          <w:rFonts w:hint="default" w:ascii="Times New Roman" w:hAnsi="Times New Roman" w:eastAsia="宋体" w:cs="Times New Roman"/>
          <w:color w:val="auto"/>
          <w:sz w:val="24"/>
          <w:szCs w:val="24"/>
          <w:highlight w:val="none"/>
          <w:lang w:val="en-US" w:eastAsia="zh-CN"/>
        </w:rPr>
        <w:t>点位，生产区布设2个</w:t>
      </w:r>
      <w:r>
        <w:rPr>
          <w:rFonts w:hint="default" w:ascii="Times New Roman" w:hAnsi="Times New Roman" w:eastAsia="宋体" w:cs="Times New Roman"/>
          <w:color w:val="auto"/>
          <w:sz w:val="24"/>
          <w:szCs w:val="24"/>
          <w:lang w:val="en-US" w:eastAsia="zh-CN"/>
        </w:rPr>
        <w:t>土壤采样</w:t>
      </w:r>
      <w:r>
        <w:rPr>
          <w:rFonts w:hint="default" w:ascii="Times New Roman" w:hAnsi="Times New Roman" w:eastAsia="宋体" w:cs="Times New Roman"/>
          <w:color w:val="auto"/>
          <w:sz w:val="24"/>
          <w:szCs w:val="24"/>
          <w:highlight w:val="none"/>
          <w:lang w:val="en-US" w:eastAsia="zh-CN"/>
        </w:rPr>
        <w:t>点位，污水处理站区布设2个</w:t>
      </w:r>
      <w:r>
        <w:rPr>
          <w:rFonts w:hint="default" w:ascii="Times New Roman" w:hAnsi="Times New Roman" w:eastAsia="宋体" w:cs="Times New Roman"/>
          <w:color w:val="auto"/>
          <w:sz w:val="24"/>
          <w:szCs w:val="24"/>
          <w:lang w:val="en-US" w:eastAsia="zh-CN"/>
        </w:rPr>
        <w:t>土壤采样</w:t>
      </w:r>
      <w:r>
        <w:rPr>
          <w:rFonts w:hint="default" w:ascii="Times New Roman" w:hAnsi="Times New Roman" w:eastAsia="宋体" w:cs="Times New Roman"/>
          <w:color w:val="auto"/>
          <w:sz w:val="24"/>
          <w:szCs w:val="24"/>
          <w:highlight w:val="none"/>
          <w:lang w:val="en-US" w:eastAsia="zh-CN"/>
        </w:rPr>
        <w:t>点位。</w:t>
      </w:r>
      <w:r>
        <w:rPr>
          <w:rFonts w:hint="default" w:ascii="Times New Roman" w:hAnsi="Times New Roman" w:eastAsia="宋体" w:cs="Times New Roman"/>
          <w:lang w:val="en-US" w:eastAsia="zh-CN"/>
        </w:rPr>
        <w:t>本项目土壤检测因子参考《土壤环境质量 建设用地土壤污染风险管控标准（试行）》（GB36600-2018）及本场地特征污染物情况，设定为pH、重金属、VOCs、SVOCs及TPH。</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地下水采样点布置在污水处理站与生化车间之间位置。</w:t>
      </w:r>
      <w:r>
        <w:rPr>
          <w:rFonts w:hint="default" w:ascii="Times New Roman" w:hAnsi="Times New Roman" w:eastAsia="宋体" w:cs="Times New Roman"/>
          <w:bCs/>
          <w:color w:val="auto"/>
          <w:sz w:val="24"/>
          <w:lang w:eastAsia="zh-CN"/>
        </w:rPr>
        <w:t>本项目地下水的检测因子参考《</w:t>
      </w:r>
      <w:r>
        <w:rPr>
          <w:rFonts w:hint="default" w:ascii="Times New Roman" w:hAnsi="Times New Roman" w:eastAsia="宋体" w:cs="Times New Roman"/>
          <w:bCs/>
          <w:color w:val="auto"/>
          <w:sz w:val="24"/>
          <w:lang w:val="en-US" w:eastAsia="zh-CN"/>
        </w:rPr>
        <w:t>环境影响评价技术导则 地下水环境</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HJ 610-2016</w:t>
      </w:r>
      <w:r>
        <w:rPr>
          <w:rFonts w:hint="default" w:ascii="Times New Roman" w:hAnsi="Times New Roman" w:eastAsia="宋体" w:cs="Times New Roman"/>
          <w:bCs/>
          <w:color w:val="auto"/>
          <w:sz w:val="24"/>
          <w:lang w:eastAsia="zh-CN"/>
        </w:rPr>
        <w:t>）及本场地特征污染物情况，设定为</w:t>
      </w:r>
      <w:r>
        <w:rPr>
          <w:rFonts w:hint="default" w:ascii="Times New Roman" w:hAnsi="Times New Roman" w:eastAsia="宋体" w:cs="Times New Roman"/>
          <w:bCs/>
          <w:color w:val="auto"/>
          <w:sz w:val="24"/>
          <w:lang w:val="en-US" w:eastAsia="zh-CN"/>
        </w:rPr>
        <w:t>pH、氨氮、硝酸盐、亚硝酸盐、挥发性酚类、氰化物、砷、汞、铬(六价)、总硬度、铅、氟、镉、铁、锰、溶解性总固体、高锰酸盐指数、硫酸盐、氯化物、石油类和锌等。</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土壤和地下水采样点位设置见图4.2-1。土壤</w:t>
      </w:r>
      <w:r>
        <w:rPr>
          <w:rFonts w:hint="default" w:ascii="Times New Roman" w:hAnsi="Times New Roman" w:eastAsia="宋体" w:cs="Times New Roman"/>
          <w:color w:val="auto"/>
          <w:sz w:val="24"/>
          <w:szCs w:val="24"/>
          <w:lang w:eastAsia="zh-CN"/>
        </w:rPr>
        <w:t>和</w:t>
      </w:r>
      <w:r>
        <w:rPr>
          <w:rFonts w:hint="default" w:ascii="Times New Roman" w:hAnsi="Times New Roman" w:eastAsia="宋体" w:cs="Times New Roman"/>
          <w:color w:val="auto"/>
          <w:sz w:val="24"/>
          <w:szCs w:val="24"/>
        </w:rPr>
        <w:t>地下水监测布点信息</w:t>
      </w:r>
      <w:r>
        <w:rPr>
          <w:rFonts w:hint="default" w:ascii="Times New Roman" w:hAnsi="Times New Roman" w:eastAsia="宋体" w:cs="Times New Roman"/>
          <w:color w:val="auto"/>
          <w:sz w:val="24"/>
          <w:szCs w:val="24"/>
          <w:lang w:eastAsia="zh-CN"/>
        </w:rPr>
        <w:t>详见表</w:t>
      </w:r>
      <w:r>
        <w:rPr>
          <w:rFonts w:hint="default" w:ascii="Times New Roman" w:hAnsi="Times New Roman" w:eastAsia="宋体" w:cs="Times New Roman"/>
          <w:color w:val="auto"/>
          <w:sz w:val="24"/>
          <w:szCs w:val="24"/>
          <w:lang w:val="en-US" w:eastAsia="zh-CN"/>
        </w:rPr>
        <w:t>4.2-1。</w:t>
      </w:r>
      <w:bookmarkEnd w:id="90"/>
    </w:p>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266690" cy="4511675"/>
            <wp:effectExtent l="0" t="0" r="10160" b="317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53"/>
                    <a:stretch>
                      <a:fillRect/>
                    </a:stretch>
                  </pic:blipFill>
                  <pic:spPr>
                    <a:xfrm>
                      <a:off x="0" y="0"/>
                      <a:ext cx="5266690" cy="4511675"/>
                    </a:xfrm>
                    <a:prstGeom prst="rect">
                      <a:avLst/>
                    </a:prstGeom>
                    <a:noFill/>
                    <a:ln>
                      <a:noFill/>
                    </a:ln>
                  </pic:spPr>
                </pic:pic>
              </a:graphicData>
            </a:graphic>
          </wp:inline>
        </w:drawing>
      </w:r>
    </w:p>
    <w:p>
      <w:pPr>
        <w:pStyle w:val="2"/>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图</w:t>
      </w:r>
      <w:r>
        <w:rPr>
          <w:rFonts w:hint="default" w:ascii="Times New Roman" w:hAnsi="Times New Roman" w:eastAsia="宋体" w:cs="Times New Roman"/>
          <w:b/>
          <w:bCs/>
          <w:color w:val="auto"/>
          <w:lang w:val="en-US" w:eastAsia="zh-CN"/>
        </w:rPr>
        <w:t>4.2-1  土壤及地下水监测点位示意图</w:t>
      </w:r>
    </w:p>
    <w:p>
      <w:pPr>
        <w:pageBreakBefore w:val="0"/>
        <w:kinsoku/>
        <w:wordWrap/>
        <w:overflowPunct/>
        <w:topLinePunct w:val="0"/>
        <w:bidi w:val="0"/>
        <w:spacing w:line="360" w:lineRule="auto"/>
        <w:rPr>
          <w:rFonts w:hint="default" w:ascii="Times New Roman" w:hAnsi="Times New Roman" w:cs="Times New Roman"/>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 xml:space="preserve">4.2-1  </w:t>
      </w:r>
      <w:r>
        <w:rPr>
          <w:rFonts w:hint="default" w:ascii="Times New Roman" w:hAnsi="Times New Roman" w:eastAsia="宋体" w:cs="Times New Roman"/>
          <w:b/>
          <w:bCs/>
          <w:color w:val="auto"/>
        </w:rPr>
        <w:t>土壤</w:t>
      </w:r>
      <w:r>
        <w:rPr>
          <w:rFonts w:hint="default" w:ascii="Times New Roman" w:hAnsi="Times New Roman" w:eastAsia="宋体" w:cs="Times New Roman"/>
          <w:b/>
          <w:bCs/>
          <w:color w:val="auto"/>
          <w:lang w:eastAsia="zh-CN"/>
        </w:rPr>
        <w:t>和</w:t>
      </w:r>
      <w:r>
        <w:rPr>
          <w:rFonts w:hint="default" w:ascii="Times New Roman" w:hAnsi="Times New Roman" w:eastAsia="宋体" w:cs="Times New Roman"/>
          <w:b/>
          <w:bCs/>
          <w:color w:val="auto"/>
        </w:rPr>
        <w:t>地下水监测布点信息</w:t>
      </w:r>
      <w:r>
        <w:rPr>
          <w:rFonts w:hint="default" w:ascii="Times New Roman" w:hAnsi="Times New Roman" w:eastAsia="宋体" w:cs="Times New Roman"/>
          <w:b/>
          <w:bCs/>
          <w:color w:val="auto"/>
          <w:lang w:eastAsia="zh-CN"/>
        </w:rPr>
        <w:t>一览表</w:t>
      </w:r>
    </w:p>
    <w:tbl>
      <w:tblPr>
        <w:tblStyle w:val="1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883"/>
        <w:gridCol w:w="1470"/>
        <w:gridCol w:w="2040"/>
        <w:gridCol w:w="1005"/>
        <w:gridCol w:w="1093"/>
        <w:gridCol w:w="1157"/>
        <w:gridCol w:w="3075"/>
        <w:gridCol w:w="32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795" w:hRule="atLeast"/>
        </w:trPr>
        <w:tc>
          <w:tcPr>
            <w:tcW w:w="3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点位编号</w:t>
            </w:r>
          </w:p>
        </w:tc>
        <w:tc>
          <w:tcPr>
            <w:tcW w:w="52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布点位置</w:t>
            </w:r>
          </w:p>
        </w:tc>
        <w:tc>
          <w:tcPr>
            <w:tcW w:w="72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点位坐标</w:t>
            </w:r>
          </w:p>
        </w:tc>
        <w:tc>
          <w:tcPr>
            <w:tcW w:w="35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样品类别</w:t>
            </w:r>
          </w:p>
        </w:tc>
        <w:tc>
          <w:tcPr>
            <w:tcW w:w="39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样品数量（组）</w:t>
            </w:r>
          </w:p>
        </w:tc>
        <w:tc>
          <w:tcPr>
            <w:tcW w:w="41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钻孔深度（m</w:t>
            </w:r>
            <w:r>
              <w:rPr>
                <w:rStyle w:val="32"/>
                <w:rFonts w:hint="default" w:ascii="Times New Roman" w:hAnsi="Times New Roman" w:cs="Times New Roman"/>
                <w:lang w:val="en-US" w:eastAsia="zh-CN" w:bidi="ar"/>
              </w:rPr>
              <w:t>）</w:t>
            </w:r>
          </w:p>
        </w:tc>
        <w:tc>
          <w:tcPr>
            <w:tcW w:w="109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布点依据</w:t>
            </w:r>
          </w:p>
        </w:tc>
        <w:tc>
          <w:tcPr>
            <w:tcW w:w="116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检测因子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3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S1</w:t>
            </w:r>
          </w:p>
        </w:tc>
        <w:tc>
          <w:tcPr>
            <w:tcW w:w="52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镀铬车间与镀锌车间交界</w:t>
            </w:r>
          </w:p>
        </w:tc>
        <w:tc>
          <w:tcPr>
            <w:tcW w:w="72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N：37°08′43.61″</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E：114°39′16.24″</w:t>
            </w:r>
          </w:p>
        </w:tc>
        <w:tc>
          <w:tcPr>
            <w:tcW w:w="35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39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41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9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判断生产车间是否存在遗撒及管线泄露等污染</w:t>
            </w:r>
          </w:p>
        </w:tc>
        <w:tc>
          <w:tcPr>
            <w:tcW w:w="116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32"/>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、pH、TPH</w:t>
            </w:r>
            <w:r>
              <w:rPr>
                <w:rStyle w:val="32"/>
                <w:rFonts w:hint="default" w:ascii="Times New Roman" w:hAnsi="Times New Roman" w:cs="Times New Roman"/>
                <w:lang w:val="en-US" w:eastAsia="zh-CN" w:bidi="ar"/>
              </w:rPr>
              <w:t>、锌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0" w:hRule="atLeast"/>
        </w:trPr>
        <w:tc>
          <w:tcPr>
            <w:tcW w:w="3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S2</w:t>
            </w:r>
          </w:p>
        </w:tc>
        <w:tc>
          <w:tcPr>
            <w:tcW w:w="52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危废库与污水处理站之间</w:t>
            </w:r>
          </w:p>
        </w:tc>
        <w:tc>
          <w:tcPr>
            <w:tcW w:w="72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N：37°08′43.65″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E：114°39′20.72″</w:t>
            </w:r>
          </w:p>
        </w:tc>
        <w:tc>
          <w:tcPr>
            <w:tcW w:w="35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39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41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9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判断生产车间、危废库是否存在遗撒等污染、污水站管线是否存在废液泄露等污染</w:t>
            </w:r>
          </w:p>
        </w:tc>
        <w:tc>
          <w:tcPr>
            <w:tcW w:w="116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32"/>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、pH、TPH</w:t>
            </w:r>
            <w:r>
              <w:rPr>
                <w:rStyle w:val="32"/>
                <w:rFonts w:hint="default" w:ascii="Times New Roman" w:hAnsi="Times New Roman" w:cs="Times New Roman"/>
                <w:lang w:val="en-US" w:eastAsia="zh-CN" w:bidi="ar"/>
              </w:rPr>
              <w:t>、锌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5" w:hRule="atLeast"/>
        </w:trPr>
        <w:tc>
          <w:tcPr>
            <w:tcW w:w="3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S3</w:t>
            </w:r>
          </w:p>
        </w:tc>
        <w:tc>
          <w:tcPr>
            <w:tcW w:w="52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污水处理站南侧</w:t>
            </w:r>
          </w:p>
        </w:tc>
        <w:tc>
          <w:tcPr>
            <w:tcW w:w="72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N：37°08′42.65″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E：114°39′20.26″</w:t>
            </w:r>
          </w:p>
        </w:tc>
        <w:tc>
          <w:tcPr>
            <w:tcW w:w="35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39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w:t>
            </w:r>
          </w:p>
        </w:tc>
        <w:tc>
          <w:tcPr>
            <w:tcW w:w="41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9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判断污水站及各生产车间是否存在遗撒、泄露等污染</w:t>
            </w:r>
          </w:p>
        </w:tc>
        <w:tc>
          <w:tcPr>
            <w:tcW w:w="116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32"/>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、pH、TPH</w:t>
            </w:r>
            <w:r>
              <w:rPr>
                <w:rStyle w:val="32"/>
                <w:rFonts w:hint="default" w:ascii="Times New Roman" w:hAnsi="Times New Roman" w:cs="Times New Roman"/>
                <w:lang w:val="en-US" w:eastAsia="zh-CN" w:bidi="ar"/>
              </w:rPr>
              <w:t>、锌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6" w:hRule="atLeast"/>
        </w:trPr>
        <w:tc>
          <w:tcPr>
            <w:tcW w:w="3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S4</w:t>
            </w:r>
          </w:p>
        </w:tc>
        <w:tc>
          <w:tcPr>
            <w:tcW w:w="52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机加工车间南侧</w:t>
            </w:r>
          </w:p>
        </w:tc>
        <w:tc>
          <w:tcPr>
            <w:tcW w:w="72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N：37°08′40.76″</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E：114°39′16.52″</w:t>
            </w:r>
          </w:p>
        </w:tc>
        <w:tc>
          <w:tcPr>
            <w:tcW w:w="35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39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41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9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判断机加工等过程是否存在石油类污染及外租区是否存在污染</w:t>
            </w:r>
          </w:p>
        </w:tc>
        <w:tc>
          <w:tcPr>
            <w:tcW w:w="116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32"/>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、pH、TPH</w:t>
            </w:r>
            <w:r>
              <w:rPr>
                <w:rStyle w:val="32"/>
                <w:rFonts w:hint="default" w:ascii="Times New Roman" w:hAnsi="Times New Roman" w:cs="Times New Roman"/>
                <w:lang w:val="en-US" w:eastAsia="zh-CN" w:bidi="ar"/>
              </w:rPr>
              <w:t>、锌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3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S5</w:t>
            </w:r>
          </w:p>
        </w:tc>
        <w:tc>
          <w:tcPr>
            <w:tcW w:w="52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办公区西侧</w:t>
            </w:r>
          </w:p>
        </w:tc>
        <w:tc>
          <w:tcPr>
            <w:tcW w:w="72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N：37°08′40.78″</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E：114°39′20.36″</w:t>
            </w:r>
          </w:p>
        </w:tc>
        <w:tc>
          <w:tcPr>
            <w:tcW w:w="35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土壤</w:t>
            </w:r>
          </w:p>
        </w:tc>
        <w:tc>
          <w:tcPr>
            <w:tcW w:w="39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41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0.5</w:t>
            </w:r>
          </w:p>
        </w:tc>
        <w:tc>
          <w:tcPr>
            <w:tcW w:w="109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判断办公及外租区是否被污染</w:t>
            </w:r>
          </w:p>
        </w:tc>
        <w:tc>
          <w:tcPr>
            <w:tcW w:w="116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GB36600-2018中必测45</w:t>
            </w:r>
            <w:r>
              <w:rPr>
                <w:rStyle w:val="32"/>
                <w:rFonts w:hint="default" w:ascii="Times New Roman" w:hAnsi="Times New Roman" w:cs="Times New Roman"/>
                <w:lang w:val="en-US" w:eastAsia="zh-CN" w:bidi="ar"/>
              </w:rPr>
              <w:t>项</w:t>
            </w:r>
            <w:r>
              <w:rPr>
                <w:rFonts w:hint="default" w:ascii="Times New Roman" w:hAnsi="Times New Roman" w:eastAsia="宋体" w:cs="Times New Roman"/>
                <w:i w:val="0"/>
                <w:color w:val="000000"/>
                <w:kern w:val="0"/>
                <w:sz w:val="21"/>
                <w:szCs w:val="21"/>
                <w:u w:val="none"/>
                <w:lang w:val="en-US" w:eastAsia="zh-CN" w:bidi="ar"/>
              </w:rPr>
              <w:t>、pH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0" w:hRule="atLeast"/>
        </w:trPr>
        <w:tc>
          <w:tcPr>
            <w:tcW w:w="31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W1</w:t>
            </w:r>
          </w:p>
        </w:tc>
        <w:tc>
          <w:tcPr>
            <w:tcW w:w="52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生化处理车间东侧</w:t>
            </w:r>
          </w:p>
        </w:tc>
        <w:tc>
          <w:tcPr>
            <w:tcW w:w="72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N：37°08′42.62″</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E：114°39′20.76″</w:t>
            </w:r>
          </w:p>
        </w:tc>
        <w:tc>
          <w:tcPr>
            <w:tcW w:w="35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地下水</w:t>
            </w:r>
          </w:p>
        </w:tc>
        <w:tc>
          <w:tcPr>
            <w:tcW w:w="39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41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9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根据污水流向，在污水处理区下游布置</w:t>
            </w:r>
          </w:p>
        </w:tc>
        <w:tc>
          <w:tcPr>
            <w:tcW w:w="1167"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pH</w:t>
            </w:r>
            <w:r>
              <w:rPr>
                <w:rStyle w:val="32"/>
                <w:rFonts w:hint="default" w:ascii="Times New Roman" w:hAnsi="Times New Roman" w:cs="Times New Roman"/>
                <w:lang w:val="en-US" w:eastAsia="zh-CN" w:bidi="ar"/>
              </w:rPr>
              <w:t>、氨氮、硝酸盐、亚硝酸盐、挥发性酚类、氰化物、砷、汞、铬</w:t>
            </w:r>
            <w:r>
              <w:rPr>
                <w:rFonts w:hint="default" w:ascii="Times New Roman" w:hAnsi="Times New Roman" w:eastAsia="宋体" w:cs="Times New Roman"/>
                <w:i w:val="0"/>
                <w:color w:val="000000"/>
                <w:kern w:val="0"/>
                <w:sz w:val="21"/>
                <w:szCs w:val="21"/>
                <w:u w:val="none"/>
                <w:lang w:val="en-US" w:eastAsia="zh-CN" w:bidi="ar"/>
              </w:rPr>
              <w:t>(</w:t>
            </w:r>
            <w:r>
              <w:rPr>
                <w:rStyle w:val="32"/>
                <w:rFonts w:hint="default" w:ascii="Times New Roman" w:hAnsi="Times New Roman" w:cs="Times New Roman"/>
                <w:lang w:val="en-US" w:eastAsia="zh-CN" w:bidi="ar"/>
              </w:rPr>
              <w:t>六价</w:t>
            </w:r>
            <w:r>
              <w:rPr>
                <w:rFonts w:hint="default" w:ascii="Times New Roman" w:hAnsi="Times New Roman" w:eastAsia="宋体" w:cs="Times New Roman"/>
                <w:i w:val="0"/>
                <w:color w:val="000000"/>
                <w:kern w:val="0"/>
                <w:sz w:val="21"/>
                <w:szCs w:val="21"/>
                <w:u w:val="none"/>
                <w:lang w:val="en-US" w:eastAsia="zh-CN" w:bidi="ar"/>
              </w:rPr>
              <w:t>)</w:t>
            </w:r>
            <w:r>
              <w:rPr>
                <w:rStyle w:val="32"/>
                <w:rFonts w:hint="default" w:ascii="Times New Roman" w:hAnsi="Times New Roman" w:cs="Times New Roman"/>
                <w:lang w:val="en-US" w:eastAsia="zh-CN" w:bidi="ar"/>
              </w:rPr>
              <w:t>、总硬度、铅、氟、镉、铁、锰、溶解性总固体、高锰酸盐指数、硫酸盐、氯化物、石油类、锌</w:t>
            </w:r>
          </w:p>
        </w:tc>
      </w:tr>
    </w:tbl>
    <w:p>
      <w:pPr>
        <w:pStyle w:val="2"/>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20" w:name="_Toc18949"/>
      <w:bookmarkStart w:id="121" w:name="_Toc15528"/>
      <w:r>
        <w:rPr>
          <w:rFonts w:hint="default" w:ascii="Times New Roman" w:hAnsi="Times New Roman" w:eastAsia="宋体" w:cs="Times New Roman"/>
          <w:color w:val="auto"/>
          <w:lang w:val="en-US" w:eastAsia="zh-CN"/>
        </w:rPr>
        <w:t>4.2.2 采样过程</w:t>
      </w:r>
      <w:bookmarkEnd w:id="120"/>
    </w:p>
    <w:p>
      <w:pPr>
        <w:pageBreakBefore w:val="0"/>
        <w:kinsoku/>
        <w:wordWrap/>
        <w:overflowPunct/>
        <w:topLinePunct w:val="0"/>
        <w:autoSpaceDE/>
        <w:autoSpaceDN/>
        <w:bidi w:val="0"/>
        <w:spacing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（1）采样前准备</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①在采样前做好个人的防护工作，佩戴安全帽、口罩等。</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②根据采样计划，准备本项目调查方案、钻探记录单、土壤采样记录单、样品流转单及采样布点图。</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③准备相机、样品瓶、标签、签字笔、记号笔、保温箱、干冰、橡胶手套、PVC手套、木铲、采样器等。</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④确定采样设备和台数。</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⑤进行明确的任务分工。</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（2）定位和探测</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样前，采用卷尺、GPS卫星定位仪等工具在现场确定采样点的具体位置和地面标高，并在采样布点图中标出。通过询问相关人员明确钻孔位置地下有无电缆、管线、沟、槽等地下障碍物，也可采用金属探测器或探地雷达等设备进行探测。</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（3）钻探技术要求</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本次现场取样的钻探工作委托河北大地建设工程检测有限公司工程勘察分公司进行，钻探采用常用的能够满足本工作要求汽车钻机，采样使用原状土取土器按照方案设计深度取土，取土后采样。</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钻探施工过程中，首先要了解勘探场区的地形地物、交通条件、钻孔实际位置及现场的电源、水源等情况。严格注意地下管线安全，核实场区内有无地下设施以及相应的分布和走向，如地下电缆、地下管线和人防通道等。如遇地下构筑物无法钻进时，须立即停止并通知现场工程负责人，未进行管线探测的钻孔，均要求使用洛阳铲钻至老土地层，再使用钻机钻探。</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安装钻机时，应避开地下管道、电缆及通道等，并注意高空有无障碍物或电缆。在狭窄场地安装及拆卸钻机时，应特别注意加强安全防护措施。安装钻探架的距离，要根据倒架、倒杆或在最不利的可能操作下，大于钻架或钻杆的最远点离开高压线的最小距离。当孔位设置地点与最小安全距离相矛盾时，以保证安全距离为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钻机就位后，应严格按照现场工程师的要求进行，不得随意移动钻孔位置。如发现异常情况应立即向现场工程师汇报并经同意批准后方可继续作业。为保证钻孔质量，开孔时，须扶正导向管，保持钻孔垂直，落距不宜过高，如发现歪孔影响质量时，要立即纠正。</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钻探时，深度达到地面下2m，须立即跟进套管，钻探深度和套管深度要求保持一致，防止上面的土壤脱落造成交叉污染。</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每台钻机配备钻头及取土器各2个，并配有取砂器一个。在钻探过程中，如果遇见污染严重的土壤（气味重、颜色深或含有焦油等物质），须立即更换钻头或取土器，然后将卸下的钻头或取土器拿去清洗干净，以备后用。整个钻探过程中不允许向钻孔添加水、油等液体。特别是取土器及套管接口应用钢刷清洁，不允许添加机油润滑。</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对于深度大于弱透水层底板埋深的钻孔，在钻探结束后，要求使用膨润土回填，回填的深度要求覆盖整个弱透水层，并超过弱透水层顶底板上下30cm。回填膨润土时，每回填10cm须用水润湿。</w:t>
      </w:r>
    </w:p>
    <w:p>
      <w:pPr>
        <w:pageBreakBefore w:val="0"/>
        <w:kinsoku/>
        <w:wordWrap/>
        <w:overflowPunct/>
        <w:topLinePunct w:val="0"/>
        <w:autoSpaceDE/>
        <w:autoSpaceDN/>
        <w:bidi w:val="0"/>
        <w:spacing w:line="360" w:lineRule="auto"/>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现场钻探照片见图4.2-2。</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36190" cy="1901825"/>
                  <wp:effectExtent l="0" t="0" r="16510" b="3175"/>
                  <wp:docPr id="8" name="图片 16" descr="IMG_20191113_09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0191113_091210"/>
                          <pic:cNvPicPr>
                            <a:picLocks noChangeAspect="1"/>
                          </pic:cNvPicPr>
                        </pic:nvPicPr>
                        <pic:blipFill>
                          <a:blip r:embed="rId54"/>
                          <a:stretch>
                            <a:fillRect/>
                          </a:stretch>
                        </pic:blipFill>
                        <pic:spPr>
                          <a:xfrm>
                            <a:off x="0" y="0"/>
                            <a:ext cx="2536190" cy="1901825"/>
                          </a:xfrm>
                          <a:prstGeom prst="rect">
                            <a:avLst/>
                          </a:prstGeom>
                          <a:noFill/>
                          <a:ln>
                            <a:noFill/>
                          </a:ln>
                        </pic:spPr>
                      </pic:pic>
                    </a:graphicData>
                  </a:graphic>
                </wp:inline>
              </w:drawing>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drawing>
                <wp:inline distT="0" distB="0" distL="114300" distR="114300">
                  <wp:extent cx="2536190" cy="1901825"/>
                  <wp:effectExtent l="0" t="0" r="16510" b="3175"/>
                  <wp:docPr id="7" name="图片 17" descr="IMG_20191113_10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0191113_104300"/>
                          <pic:cNvPicPr>
                            <a:picLocks noChangeAspect="1"/>
                          </pic:cNvPicPr>
                        </pic:nvPicPr>
                        <pic:blipFill>
                          <a:blip r:embed="rId55"/>
                          <a:stretch>
                            <a:fillRect/>
                          </a:stretch>
                        </pic:blipFill>
                        <pic:spPr>
                          <a:xfrm>
                            <a:off x="0" y="0"/>
                            <a:ext cx="2536190" cy="1901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人工钻</w:t>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汽车钻</w:t>
            </w:r>
          </w:p>
        </w:tc>
      </w:tr>
    </w:tbl>
    <w:p>
      <w:pPr>
        <w:pStyle w:val="2"/>
        <w:pageBreakBefore w:val="0"/>
        <w:kinsoku/>
        <w:wordWrap/>
        <w:overflowPunct/>
        <w:topLinePunct w:val="0"/>
        <w:bidi w:val="0"/>
        <w:spacing w:line="36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4"/>
          <w:szCs w:val="24"/>
          <w:highlight w:val="none"/>
        </w:rPr>
        <w:t>图4.2-2</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钻探</w:t>
      </w:r>
      <w:r>
        <w:rPr>
          <w:rFonts w:hint="default" w:ascii="Times New Roman" w:hAnsi="Times New Roman" w:eastAsia="宋体" w:cs="Times New Roman"/>
          <w:b/>
          <w:bCs/>
          <w:color w:val="auto"/>
          <w:sz w:val="24"/>
          <w:szCs w:val="24"/>
          <w:highlight w:val="none"/>
          <w:lang w:eastAsia="zh-CN"/>
        </w:rPr>
        <w:t>现场工作</w:t>
      </w:r>
      <w:r>
        <w:rPr>
          <w:rFonts w:hint="default" w:ascii="Times New Roman" w:hAnsi="Times New Roman" w:eastAsia="宋体" w:cs="Times New Roman"/>
          <w:b/>
          <w:bCs/>
          <w:color w:val="auto"/>
          <w:sz w:val="24"/>
          <w:szCs w:val="24"/>
          <w:highlight w:val="none"/>
        </w:rPr>
        <w:t>照片</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（4）土壤样品采集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本项目场地中可能存在重金属、VOCs、SVOCs的污染，采样过程由</w:t>
      </w:r>
      <w:r>
        <w:rPr>
          <w:rFonts w:hint="default" w:ascii="Times New Roman" w:hAnsi="Times New Roman" w:eastAsia="宋体" w:cs="Times New Roman"/>
          <w:color w:val="auto"/>
          <w:sz w:val="24"/>
          <w:szCs w:val="24"/>
          <w:lang w:eastAsia="zh-CN"/>
        </w:rPr>
        <w:t>江苏实朴</w:t>
      </w:r>
      <w:r>
        <w:rPr>
          <w:rFonts w:hint="default" w:ascii="Times New Roman" w:hAnsi="Times New Roman" w:eastAsia="宋体" w:cs="Times New Roman"/>
          <w:color w:val="auto"/>
          <w:sz w:val="24"/>
          <w:szCs w:val="24"/>
        </w:rPr>
        <w:t>检测服务有限公司的采样技术人员根据《调查方案》要求进行。现场填写详细的勘探记录单，记录内容包括：钻号、日期、钻进方法、钻孔经纬度坐标、钻进深度、土壤层深度、土壤岩性、颜色、气味等。</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根据《土壤环境监测技术规范》（HJ/T166-2004）相关要求：</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①采集重金属样品时，根据采样方案确定采样深度，在该采样深度上采集混合均匀后的土壤样品。</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②在采集VOCs、SVOCs等有机物样品时，首先用木铲刮开土柱表面后再进行取样，避免因钻头温度升高导致表层的有机物挥发，影响检测结果。</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测定重金属的土壤样品采集在聚乙烯自封袋中，采集量不少于1kg；测定VOCs的土壤样品要求用采样器采集4~5g原状土迅速放入含甲醇保护剂的40ml棕色玻璃瓶内；测定SVOCs的土壤样品均采集在250ml的棕色玻璃瓶中，要求装满、压实，尽量使得瓶内不留空隙，土壤样品与瓶口形成切面。</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④土样采集后，要立即对采样瓶进行编号，编号内容包括监测点位编号、采样深度和采样日期。</w:t>
      </w:r>
    </w:p>
    <w:p>
      <w:pPr>
        <w:pageBreakBefore w:val="0"/>
        <w:kinsoku/>
        <w:wordWrap/>
        <w:overflowPunct/>
        <w:topLinePunct w:val="0"/>
        <w:autoSpaceDE/>
        <w:autoSpaceDN/>
        <w:bidi w:val="0"/>
        <w:spacing w:line="360" w:lineRule="auto"/>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现场土壤采样照片见图4.2-3。</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drawing>
                <wp:inline distT="0" distB="0" distL="114300" distR="114300">
                  <wp:extent cx="2536190" cy="1901825"/>
                  <wp:effectExtent l="0" t="0" r="16510" b="3175"/>
                  <wp:docPr id="17" name="图片 17" descr="IMG_20191112_11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91112_114151"/>
                          <pic:cNvPicPr>
                            <a:picLocks noChangeAspect="1"/>
                          </pic:cNvPicPr>
                        </pic:nvPicPr>
                        <pic:blipFill>
                          <a:blip r:embed="rId56"/>
                          <a:stretch>
                            <a:fillRect/>
                          </a:stretch>
                        </pic:blipFill>
                        <pic:spPr>
                          <a:xfrm>
                            <a:off x="0" y="0"/>
                            <a:ext cx="2536190" cy="1901825"/>
                          </a:xfrm>
                          <a:prstGeom prst="rect">
                            <a:avLst/>
                          </a:prstGeom>
                        </pic:spPr>
                      </pic:pic>
                    </a:graphicData>
                  </a:graphic>
                </wp:inline>
              </w:drawing>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drawing>
                <wp:inline distT="0" distB="0" distL="114300" distR="114300">
                  <wp:extent cx="2536190" cy="1901825"/>
                  <wp:effectExtent l="0" t="0" r="16510" b="3175"/>
                  <wp:docPr id="18" name="图片 18" descr="IMG_20191112_11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91112_114747"/>
                          <pic:cNvPicPr>
                            <a:picLocks noChangeAspect="1"/>
                          </pic:cNvPicPr>
                        </pic:nvPicPr>
                        <pic:blipFill>
                          <a:blip r:embed="rId57"/>
                          <a:stretch>
                            <a:fillRect/>
                          </a:stretch>
                        </pic:blipFill>
                        <pic:spPr>
                          <a:xfrm>
                            <a:off x="0" y="0"/>
                            <a:ext cx="2536190" cy="1901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sz w:val="21"/>
                <w:szCs w:val="21"/>
                <w:highlight w:val="none"/>
              </w:rPr>
              <w:t>采集测定VOC</w:t>
            </w:r>
            <w:r>
              <w:rPr>
                <w:rFonts w:hint="default" w:ascii="Times New Roman" w:hAnsi="Times New Roman" w:eastAsia="宋体" w:cs="Times New Roman"/>
                <w:b/>
                <w:bCs/>
                <w:color w:val="auto"/>
                <w:sz w:val="21"/>
                <w:szCs w:val="21"/>
                <w:highlight w:val="none"/>
                <w:vertAlign w:val="subscript"/>
              </w:rPr>
              <w:t>S</w:t>
            </w:r>
            <w:r>
              <w:rPr>
                <w:rFonts w:hint="default" w:ascii="Times New Roman" w:hAnsi="Times New Roman" w:eastAsia="宋体" w:cs="Times New Roman"/>
                <w:b/>
                <w:bCs/>
                <w:color w:val="auto"/>
                <w:sz w:val="21"/>
                <w:szCs w:val="21"/>
                <w:highlight w:val="none"/>
              </w:rPr>
              <w:t>的样品</w:t>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sz w:val="21"/>
                <w:szCs w:val="21"/>
                <w:highlight w:val="none"/>
              </w:rPr>
              <w:t>采集测定</w:t>
            </w:r>
            <w:r>
              <w:rPr>
                <w:rFonts w:hint="default" w:ascii="Times New Roman" w:hAnsi="Times New Roman" w:eastAsia="宋体" w:cs="Times New Roman"/>
                <w:b/>
                <w:bCs/>
                <w:color w:val="auto"/>
                <w:sz w:val="21"/>
                <w:szCs w:val="21"/>
                <w:highlight w:val="none"/>
                <w:lang w:eastAsia="zh-CN"/>
              </w:rPr>
              <w:t>重金属和</w:t>
            </w:r>
            <w:r>
              <w:rPr>
                <w:rFonts w:hint="default" w:ascii="Times New Roman" w:hAnsi="Times New Roman" w:eastAsia="宋体" w:cs="Times New Roman"/>
                <w:b/>
                <w:bCs/>
                <w:color w:val="auto"/>
                <w:sz w:val="21"/>
                <w:szCs w:val="21"/>
                <w:highlight w:val="none"/>
                <w:lang w:val="en-US" w:eastAsia="zh-CN"/>
              </w:rPr>
              <w:t>S</w:t>
            </w:r>
            <w:r>
              <w:rPr>
                <w:rFonts w:hint="default" w:ascii="Times New Roman" w:hAnsi="Times New Roman" w:eastAsia="宋体" w:cs="Times New Roman"/>
                <w:b/>
                <w:bCs/>
                <w:color w:val="auto"/>
                <w:sz w:val="21"/>
                <w:szCs w:val="21"/>
                <w:highlight w:val="none"/>
              </w:rPr>
              <w:t>VOC</w:t>
            </w:r>
            <w:r>
              <w:rPr>
                <w:rFonts w:hint="default" w:ascii="Times New Roman" w:hAnsi="Times New Roman" w:eastAsia="宋体" w:cs="Times New Roman"/>
                <w:b/>
                <w:bCs/>
                <w:color w:val="auto"/>
                <w:sz w:val="21"/>
                <w:szCs w:val="21"/>
                <w:highlight w:val="none"/>
                <w:vertAlign w:val="subscript"/>
              </w:rPr>
              <w:t>S</w:t>
            </w:r>
            <w:r>
              <w:rPr>
                <w:rFonts w:hint="default" w:ascii="Times New Roman" w:hAnsi="Times New Roman" w:eastAsia="宋体" w:cs="Times New Roman"/>
                <w:b/>
                <w:bCs/>
                <w:color w:val="auto"/>
                <w:sz w:val="21"/>
                <w:szCs w:val="21"/>
                <w:highlight w:val="none"/>
              </w:rPr>
              <w:t>的样品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drawing>
                <wp:inline distT="0" distB="0" distL="114300" distR="114300">
                  <wp:extent cx="2536190" cy="1901825"/>
                  <wp:effectExtent l="0" t="0" r="16510" b="3175"/>
                  <wp:docPr id="21" name="图片 21" descr="IMG_20191112_10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91112_105304"/>
                          <pic:cNvPicPr>
                            <a:picLocks noChangeAspect="1"/>
                          </pic:cNvPicPr>
                        </pic:nvPicPr>
                        <pic:blipFill>
                          <a:blip r:embed="rId58"/>
                          <a:stretch>
                            <a:fillRect/>
                          </a:stretch>
                        </pic:blipFill>
                        <pic:spPr>
                          <a:xfrm>
                            <a:off x="0" y="0"/>
                            <a:ext cx="2536190" cy="1901825"/>
                          </a:xfrm>
                          <a:prstGeom prst="rect">
                            <a:avLst/>
                          </a:prstGeom>
                        </pic:spPr>
                      </pic:pic>
                    </a:graphicData>
                  </a:graphic>
                </wp:inline>
              </w:drawing>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drawing>
                <wp:inline distT="0" distB="0" distL="114300" distR="114300">
                  <wp:extent cx="1908175" cy="2545080"/>
                  <wp:effectExtent l="0" t="0" r="7620" b="15875"/>
                  <wp:docPr id="27" name="图片 27" descr="IMG_20191114_113254"/>
                  <wp:cNvGraphicFramePr/>
                  <a:graphic xmlns:a="http://schemas.openxmlformats.org/drawingml/2006/main">
                    <a:graphicData uri="http://schemas.openxmlformats.org/drawingml/2006/picture">
                      <pic:pic xmlns:pic="http://schemas.openxmlformats.org/drawingml/2006/picture">
                        <pic:nvPicPr>
                          <pic:cNvPr id="27" name="图片 27" descr="IMG_20191114_113254"/>
                          <pic:cNvPicPr/>
                        </pic:nvPicPr>
                        <pic:blipFill>
                          <a:blip r:embed="rId59"/>
                          <a:stretch>
                            <a:fillRect/>
                          </a:stretch>
                        </pic:blipFill>
                        <pic:spPr>
                          <a:xfrm rot="16200000">
                            <a:off x="0" y="0"/>
                            <a:ext cx="1908175" cy="2545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点位钻孔</w:t>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单个点位采集的土壤样品</w:t>
            </w:r>
          </w:p>
        </w:tc>
      </w:tr>
    </w:tbl>
    <w:p>
      <w:pPr>
        <w:pageBreakBefore w:val="0"/>
        <w:kinsoku/>
        <w:wordWrap/>
        <w:overflowPunct/>
        <w:topLinePunct w:val="0"/>
        <w:autoSpaceDE/>
        <w:autoSpaceDN/>
        <w:bidi w:val="0"/>
        <w:spacing w:line="360" w:lineRule="auto"/>
        <w:ind w:left="0" w:leftChars="0" w:firstLine="0" w:firstLineChars="0"/>
        <w:jc w:val="center"/>
        <w:rPr>
          <w:rFonts w:hint="default" w:ascii="Times New Roman" w:hAnsi="Times New Roman" w:eastAsia="宋体" w:cs="Times New Roman"/>
          <w:b/>
          <w:bCs/>
          <w:color w:val="auto"/>
          <w:sz w:val="24"/>
          <w:szCs w:val="24"/>
          <w:highlight w:val="red"/>
        </w:rPr>
      </w:pPr>
      <w:r>
        <w:rPr>
          <w:rFonts w:hint="default" w:ascii="Times New Roman" w:hAnsi="Times New Roman" w:eastAsia="宋体" w:cs="Times New Roman"/>
          <w:b/>
          <w:bCs/>
          <w:color w:val="auto"/>
          <w:sz w:val="24"/>
          <w:szCs w:val="24"/>
          <w:highlight w:val="none"/>
        </w:rPr>
        <w:t>图4.2-3</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现场土壤采样照片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eastAsia="zh-CN"/>
        </w:rPr>
      </w:pPr>
      <w:bookmarkStart w:id="122" w:name="_Toc31144"/>
      <w:bookmarkStart w:id="123" w:name="_Toc9661"/>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）地下水</w:t>
      </w:r>
      <w:r>
        <w:rPr>
          <w:rFonts w:hint="default" w:ascii="Times New Roman" w:hAnsi="Times New Roman" w:eastAsia="宋体" w:cs="Times New Roman"/>
          <w:color w:val="auto"/>
          <w:sz w:val="24"/>
          <w:szCs w:val="24"/>
        </w:rPr>
        <w:t>样品采集</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①浅层水井的建立与洗井</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依据《地下水环境监测技术规范》（HJ/T164-2004）的相关要求，建立地下水监测井的方法为：</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A.</w:t>
      </w:r>
      <w:r>
        <w:rPr>
          <w:rFonts w:hint="default" w:ascii="Times New Roman" w:hAnsi="Times New Roman" w:eastAsia="宋体" w:cs="Times New Roman"/>
          <w:color w:val="auto"/>
          <w:kern w:val="0"/>
          <w:sz w:val="24"/>
        </w:rPr>
        <w:t>同钻探取样一致，首先采用钻机进行钻孔，在钻探过程中注意观察土柱的湿度变化，确定钻探到浅层水以后，需要继续钻进，使井的深度比井壁筛管的深度略深一些。</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B.</w:t>
      </w:r>
      <w:r>
        <w:rPr>
          <w:rFonts w:hint="default" w:ascii="Times New Roman" w:hAnsi="Times New Roman" w:eastAsia="宋体" w:cs="Times New Roman"/>
          <w:color w:val="auto"/>
          <w:kern w:val="0"/>
          <w:sz w:val="24"/>
        </w:rPr>
        <w:t>钻孔完成后，小心的将钻条取出，避免井周围的土壤塌陷。</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C.</w:t>
      </w:r>
      <w:r>
        <w:rPr>
          <w:rFonts w:hint="default" w:ascii="Times New Roman" w:hAnsi="Times New Roman" w:eastAsia="宋体" w:cs="Times New Roman"/>
          <w:color w:val="auto"/>
          <w:kern w:val="0"/>
          <w:sz w:val="24"/>
        </w:rPr>
        <w:t>将PVC管、接头、堵头、纱网组装或捆绑好后放至井底，之后逐次往井壁周围填充石英砂—膨润土，填充的石英砂要求超出筛管以上，使浅层水只能通过石英砂过滤后流入监测井内，防治泥土堵塞井壁筛管，膨润土用于阻隔地面水进入地下，以防污染地下水。监测井的具体结构见图4.</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rPr>
        <w:t>。</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auto"/>
          <w:sz w:val="28"/>
          <w:szCs w:val="28"/>
        </w:rPr>
      </w:pPr>
      <w:r>
        <w:rPr>
          <w:rFonts w:hint="default" w:ascii="Times New Roman" w:hAnsi="Times New Roman" w:eastAsia="宋体" w:cs="Times New Roman"/>
          <w:color w:val="auto"/>
          <w:kern w:val="0"/>
          <w:sz w:val="24"/>
          <w:lang w:val="en-US" w:eastAsia="zh-CN"/>
        </w:rPr>
        <w:t>D.</w:t>
      </w:r>
      <w:r>
        <w:rPr>
          <w:rFonts w:hint="default" w:ascii="Times New Roman" w:hAnsi="Times New Roman" w:eastAsia="宋体" w:cs="Times New Roman"/>
          <w:color w:val="auto"/>
          <w:kern w:val="0"/>
          <w:sz w:val="24"/>
        </w:rPr>
        <w:t>建井完成待水位稳定后测定地下水水位埋深，之后选用贝勒管进行洗井，待水质变清后，封闭井口，停留24h后进行取样，采集水样要满足《地下水环境监测技术规范》（HJ/T164-2004）的相关要求。</w:t>
      </w:r>
    </w:p>
    <w:p>
      <w:pPr>
        <w:pStyle w:val="28"/>
        <w:pageBreakBefore w:val="0"/>
        <w:kinsoku/>
        <w:wordWrap/>
        <w:overflowPunct/>
        <w:topLinePunct w:val="0"/>
        <w:bidi w:val="0"/>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mc:AlternateContent>
          <mc:Choice Requires="wpg">
            <w:drawing>
              <wp:anchor distT="0" distB="0" distL="114300" distR="114300" simplePos="0" relativeHeight="2116289536" behindDoc="0" locked="0" layoutInCell="1" allowOverlap="1">
                <wp:simplePos x="0" y="0"/>
                <wp:positionH relativeFrom="column">
                  <wp:posOffset>2360295</wp:posOffset>
                </wp:positionH>
                <wp:positionV relativeFrom="paragraph">
                  <wp:posOffset>62230</wp:posOffset>
                </wp:positionV>
                <wp:extent cx="1625600" cy="4447540"/>
                <wp:effectExtent l="0" t="0" r="0" b="0"/>
                <wp:wrapNone/>
                <wp:docPr id="384" name="组合 384"/>
                <wp:cNvGraphicFramePr/>
                <a:graphic xmlns:a="http://schemas.openxmlformats.org/drawingml/2006/main">
                  <a:graphicData uri="http://schemas.microsoft.com/office/word/2010/wordprocessingGroup">
                    <wpg:wgp>
                      <wpg:cNvGrpSpPr/>
                      <wpg:grpSpPr>
                        <a:xfrm>
                          <a:off x="0" y="0"/>
                          <a:ext cx="1625600" cy="4447540"/>
                          <a:chOff x="5511" y="757470"/>
                          <a:chExt cx="2560" cy="7004"/>
                        </a:xfrm>
                      </wpg:grpSpPr>
                      <wps:wsp>
                        <wps:cNvPr id="292" name="矩形 292"/>
                        <wps:cNvSpPr/>
                        <wps:spPr>
                          <a:xfrm>
                            <a:off x="5871" y="757857"/>
                            <a:ext cx="425" cy="6245"/>
                          </a:xfrm>
                          <a:prstGeom prst="rect">
                            <a:avLst/>
                          </a:prstGeom>
                          <a:noFill/>
                          <a:ln w="19050" cap="flat" cmpd="sng">
                            <a:solidFill>
                              <a:srgbClr val="000000"/>
                            </a:solidFill>
                            <a:prstDash val="solid"/>
                            <a:miter/>
                            <a:headEnd type="none" w="med" len="med"/>
                            <a:tailEnd type="none" w="med" len="med"/>
                          </a:ln>
                        </wps:spPr>
                        <wps:bodyPr upright="1"/>
                      </wps:wsp>
                      <wps:wsp>
                        <wps:cNvPr id="293" name="椭圆 293"/>
                        <wps:cNvSpPr/>
                        <wps:spPr>
                          <a:xfrm>
                            <a:off x="5927" y="761519"/>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294" name="椭圆 294"/>
                        <wps:cNvSpPr/>
                        <wps:spPr>
                          <a:xfrm>
                            <a:off x="6149" y="761508"/>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295" name="椭圆 295"/>
                        <wps:cNvSpPr/>
                        <wps:spPr>
                          <a:xfrm>
                            <a:off x="5925" y="761781"/>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296" name="椭圆 296"/>
                        <wps:cNvSpPr/>
                        <wps:spPr>
                          <a:xfrm>
                            <a:off x="6146" y="761788"/>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297" name="椭圆 297"/>
                        <wps:cNvSpPr/>
                        <wps:spPr>
                          <a:xfrm>
                            <a:off x="6145" y="762045"/>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298" name="椭圆 298"/>
                        <wps:cNvSpPr/>
                        <wps:spPr>
                          <a:xfrm>
                            <a:off x="5926" y="762044"/>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299" name="椭圆 299"/>
                        <wps:cNvSpPr/>
                        <wps:spPr>
                          <a:xfrm>
                            <a:off x="6050" y="761651"/>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00" name="椭圆 300"/>
                        <wps:cNvSpPr/>
                        <wps:spPr>
                          <a:xfrm>
                            <a:off x="6034" y="761917"/>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01" name="椭圆 301"/>
                        <wps:cNvSpPr/>
                        <wps:spPr>
                          <a:xfrm>
                            <a:off x="5914" y="761268"/>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02" name="椭圆 302"/>
                        <wps:cNvSpPr/>
                        <wps:spPr>
                          <a:xfrm>
                            <a:off x="6037" y="761400"/>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03" name="文本框 303"/>
                        <wps:cNvSpPr txBox="1"/>
                        <wps:spPr>
                          <a:xfrm>
                            <a:off x="6297" y="759950"/>
                            <a:ext cx="210" cy="4159"/>
                          </a:xfrm>
                          <a:prstGeom prst="rect">
                            <a:avLst/>
                          </a:prstGeom>
                          <a:pattFill prst="sphere">
                            <a:fgClr>
                              <a:srgbClr val="000000"/>
                            </a:fgClr>
                            <a:bgClr>
                              <a:srgbClr val="FFFFFF"/>
                            </a:bgClr>
                          </a:pattFill>
                          <a:ln w="9525" cap="flat" cmpd="sng">
                            <a:solidFill>
                              <a:srgbClr val="000000"/>
                            </a:solidFill>
                            <a:prstDash val="solid"/>
                            <a:miter/>
                            <a:headEnd type="none" w="med" len="med"/>
                            <a:tailEnd type="none" w="med" len="med"/>
                          </a:ln>
                        </wps:spPr>
                        <wps:txbx>
                          <w:txbxContent>
                            <w:p/>
                          </w:txbxContent>
                        </wps:txbx>
                        <wps:bodyPr vert="eaVert" lIns="91439" tIns="45719" rIns="91439" bIns="45719" upright="1"/>
                      </wps:wsp>
                      <wps:wsp>
                        <wps:cNvPr id="304" name="文本框 304"/>
                        <wps:cNvSpPr txBox="1"/>
                        <wps:spPr>
                          <a:xfrm>
                            <a:off x="5661" y="759968"/>
                            <a:ext cx="210" cy="4139"/>
                          </a:xfrm>
                          <a:prstGeom prst="rect">
                            <a:avLst/>
                          </a:prstGeom>
                          <a:pattFill prst="sphere">
                            <a:fgClr>
                              <a:srgbClr val="000000"/>
                            </a:fgClr>
                            <a:bgClr>
                              <a:srgbClr val="FFFFFF"/>
                            </a:bgClr>
                          </a:pattFill>
                          <a:ln w="9525" cap="flat" cmpd="sng">
                            <a:solidFill>
                              <a:srgbClr val="000000"/>
                            </a:solidFill>
                            <a:prstDash val="solid"/>
                            <a:miter/>
                            <a:headEnd type="none" w="med" len="med"/>
                            <a:tailEnd type="none" w="med" len="med"/>
                          </a:ln>
                        </wps:spPr>
                        <wps:txbx>
                          <w:txbxContent>
                            <w:p/>
                          </w:txbxContent>
                        </wps:txbx>
                        <wps:bodyPr vert="eaVert" lIns="91439" tIns="45719" rIns="91439" bIns="45719" upright="1"/>
                      </wps:wsp>
                      <wps:wsp>
                        <wps:cNvPr id="305" name="文本框 305"/>
                        <wps:cNvSpPr txBox="1"/>
                        <wps:spPr>
                          <a:xfrm>
                            <a:off x="6295" y="758124"/>
                            <a:ext cx="210" cy="1839"/>
                          </a:xfrm>
                          <a:prstGeom prst="rect">
                            <a:avLst/>
                          </a:prstGeom>
                          <a:pattFill prst="lgConfetti">
                            <a:fgClr>
                              <a:srgbClr val="FF9900"/>
                            </a:fgClr>
                            <a:bgClr>
                              <a:srgbClr val="FFFFFF"/>
                            </a:bgClr>
                          </a:pattFill>
                          <a:ln w="9525" cap="flat" cmpd="sng">
                            <a:solidFill>
                              <a:srgbClr val="000000"/>
                            </a:solidFill>
                            <a:prstDash val="solid"/>
                            <a:miter/>
                            <a:headEnd type="none" w="med" len="med"/>
                            <a:tailEnd type="none" w="med" len="med"/>
                          </a:ln>
                        </wps:spPr>
                        <wps:txbx>
                          <w:txbxContent>
                            <w:p/>
                          </w:txbxContent>
                        </wps:txbx>
                        <wps:bodyPr vert="eaVert" lIns="91439" tIns="45719" rIns="91439" bIns="45719" upright="1"/>
                      </wps:wsp>
                      <wps:wsp>
                        <wps:cNvPr id="306" name="文本框 306"/>
                        <wps:cNvSpPr txBox="1"/>
                        <wps:spPr>
                          <a:xfrm>
                            <a:off x="5660" y="758134"/>
                            <a:ext cx="210" cy="1831"/>
                          </a:xfrm>
                          <a:prstGeom prst="rect">
                            <a:avLst/>
                          </a:prstGeom>
                          <a:pattFill prst="lgConfetti">
                            <a:fgClr>
                              <a:srgbClr val="FF9900"/>
                            </a:fgClr>
                            <a:bgClr>
                              <a:srgbClr val="FFFFFF"/>
                            </a:bgClr>
                          </a:pattFill>
                          <a:ln w="9525" cap="flat" cmpd="sng">
                            <a:solidFill>
                              <a:srgbClr val="000000"/>
                            </a:solidFill>
                            <a:prstDash val="solid"/>
                            <a:miter/>
                            <a:headEnd type="none" w="med" len="med"/>
                            <a:tailEnd type="none" w="med" len="med"/>
                          </a:ln>
                        </wps:spPr>
                        <wps:txbx>
                          <w:txbxContent>
                            <w:p/>
                          </w:txbxContent>
                        </wps:txbx>
                        <wps:bodyPr vert="eaVert" lIns="91439" tIns="45719" rIns="91439" bIns="45719" upright="1"/>
                      </wps:wsp>
                      <wps:wsp>
                        <wps:cNvPr id="307" name="椭圆 307"/>
                        <wps:cNvSpPr/>
                        <wps:spPr>
                          <a:xfrm>
                            <a:off x="5924" y="761015"/>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08" name="椭圆 308"/>
                        <wps:cNvSpPr/>
                        <wps:spPr>
                          <a:xfrm>
                            <a:off x="6136" y="761003"/>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09" name="椭圆 309"/>
                        <wps:cNvSpPr/>
                        <wps:spPr>
                          <a:xfrm>
                            <a:off x="6035" y="761151"/>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10" name="椭圆 310"/>
                        <wps:cNvSpPr/>
                        <wps:spPr>
                          <a:xfrm>
                            <a:off x="6150" y="761262"/>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11" name="椭圆 311"/>
                        <wps:cNvSpPr/>
                        <wps:spPr>
                          <a:xfrm>
                            <a:off x="6033" y="760890"/>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12" name="椭圆 312"/>
                        <wps:cNvSpPr/>
                        <wps:spPr>
                          <a:xfrm>
                            <a:off x="6128" y="760751"/>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13" name="椭圆 313"/>
                        <wps:cNvSpPr/>
                        <wps:spPr>
                          <a:xfrm>
                            <a:off x="5919" y="760739"/>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14" name="椭圆 314"/>
                        <wps:cNvSpPr/>
                        <wps:spPr>
                          <a:xfrm>
                            <a:off x="6143" y="760475"/>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15" name="椭圆 315"/>
                        <wps:cNvSpPr/>
                        <wps:spPr>
                          <a:xfrm>
                            <a:off x="6020" y="760602"/>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16" name="椭圆 316"/>
                        <wps:cNvSpPr/>
                        <wps:spPr>
                          <a:xfrm>
                            <a:off x="5906" y="760464"/>
                            <a:ext cx="85" cy="85"/>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317" name="文本框 317"/>
                        <wps:cNvSpPr txBox="1"/>
                        <wps:spPr>
                          <a:xfrm rot="-5400000">
                            <a:off x="6664" y="758785"/>
                            <a:ext cx="318" cy="721"/>
                          </a:xfrm>
                          <a:prstGeom prst="rect">
                            <a:avLst/>
                          </a:prstGeom>
                          <a:noFill/>
                          <a:ln>
                            <a:noFill/>
                          </a:ln>
                        </wps:spPr>
                        <wps:txbx>
                          <w:txbxContent>
                            <w:p>
                              <w:pPr>
                                <w:spacing w:line="240" w:lineRule="auto"/>
                                <w:rPr>
                                  <w:rFonts w:hint="eastAsia"/>
                                </w:rPr>
                              </w:pPr>
                              <w:r>
                                <w:rPr>
                                  <w:rFonts w:hint="eastAsia"/>
                                </w:rPr>
                                <w:t>膨润土</w:t>
                              </w:r>
                            </w:p>
                          </w:txbxContent>
                        </wps:txbx>
                        <wps:bodyPr lIns="0" tIns="0" rIns="0" bIns="0" upright="1"/>
                      </wps:wsp>
                      <wps:wsp>
                        <wps:cNvPr id="318" name="文本框 318"/>
                        <wps:cNvSpPr txBox="1"/>
                        <wps:spPr>
                          <a:xfrm rot="-5400000">
                            <a:off x="6655" y="762232"/>
                            <a:ext cx="318" cy="721"/>
                          </a:xfrm>
                          <a:prstGeom prst="rect">
                            <a:avLst/>
                          </a:prstGeom>
                          <a:noFill/>
                          <a:ln>
                            <a:noFill/>
                          </a:ln>
                        </wps:spPr>
                        <wps:txbx>
                          <w:txbxContent>
                            <w:p>
                              <w:pPr>
                                <w:spacing w:line="240" w:lineRule="auto"/>
                                <w:rPr>
                                  <w:rFonts w:hint="eastAsia"/>
                                </w:rPr>
                              </w:pPr>
                              <w:r>
                                <w:rPr>
                                  <w:rFonts w:hint="eastAsia"/>
                                </w:rPr>
                                <w:t>石英砂</w:t>
                              </w:r>
                            </w:p>
                          </w:txbxContent>
                        </wps:txbx>
                        <wps:bodyPr lIns="0" tIns="0" rIns="0" bIns="0" upright="1"/>
                      </wps:wsp>
                      <wps:wsp>
                        <wps:cNvPr id="319" name="直接箭头连接符 319"/>
                        <wps:cNvCnPr/>
                        <wps:spPr>
                          <a:xfrm flipV="1">
                            <a:off x="6094" y="764105"/>
                            <a:ext cx="1" cy="227"/>
                          </a:xfrm>
                          <a:prstGeom prst="straightConnector1">
                            <a:avLst/>
                          </a:prstGeom>
                          <a:ln w="9525" cap="flat" cmpd="sng">
                            <a:solidFill>
                              <a:srgbClr val="000000"/>
                            </a:solidFill>
                            <a:prstDash val="solid"/>
                            <a:headEnd type="none" w="med" len="med"/>
                            <a:tailEnd type="arrow" w="med" len="med"/>
                          </a:ln>
                        </wps:spPr>
                        <wps:bodyPr/>
                      </wps:wsp>
                      <wps:wsp>
                        <wps:cNvPr id="320" name="直接连接符 320"/>
                        <wps:cNvCnPr/>
                        <wps:spPr>
                          <a:xfrm>
                            <a:off x="6095" y="764335"/>
                            <a:ext cx="678" cy="1"/>
                          </a:xfrm>
                          <a:prstGeom prst="line">
                            <a:avLst/>
                          </a:prstGeom>
                          <a:ln w="9525" cap="flat" cmpd="sng">
                            <a:solidFill>
                              <a:srgbClr val="000000"/>
                            </a:solidFill>
                            <a:prstDash val="solid"/>
                            <a:headEnd type="none" w="med" len="med"/>
                            <a:tailEnd type="none" w="med" len="med"/>
                          </a:ln>
                        </wps:spPr>
                        <wps:bodyPr upright="1"/>
                      </wps:wsp>
                      <wps:wsp>
                        <wps:cNvPr id="321" name="文本框 321"/>
                        <wps:cNvSpPr txBox="1"/>
                        <wps:spPr>
                          <a:xfrm rot="-5400000">
                            <a:off x="7291" y="763694"/>
                            <a:ext cx="318" cy="1242"/>
                          </a:xfrm>
                          <a:prstGeom prst="rect">
                            <a:avLst/>
                          </a:prstGeom>
                          <a:noFill/>
                          <a:ln>
                            <a:noFill/>
                          </a:ln>
                        </wps:spPr>
                        <wps:txbx>
                          <w:txbxContent>
                            <w:p>
                              <w:pPr>
                                <w:spacing w:line="240" w:lineRule="auto"/>
                                <w:rPr>
                                  <w:rFonts w:hint="eastAsia"/>
                                </w:rPr>
                              </w:pPr>
                              <w:r>
                                <w:rPr>
                                  <w:rFonts w:hint="eastAsia"/>
                                </w:rPr>
                                <w:t>加盖封闭</w:t>
                              </w:r>
                            </w:p>
                          </w:txbxContent>
                        </wps:txbx>
                        <wps:bodyPr lIns="0" tIns="0" rIns="0" bIns="0" upright="1"/>
                      </wps:wsp>
                      <wps:wsp>
                        <wps:cNvPr id="322" name="直接箭头连接符 322"/>
                        <wps:cNvCnPr/>
                        <wps:spPr>
                          <a:xfrm rot="-10800000" flipV="1">
                            <a:off x="6064" y="757620"/>
                            <a:ext cx="1" cy="227"/>
                          </a:xfrm>
                          <a:prstGeom prst="straightConnector1">
                            <a:avLst/>
                          </a:prstGeom>
                          <a:ln w="9525" cap="flat" cmpd="sng">
                            <a:solidFill>
                              <a:srgbClr val="000000"/>
                            </a:solidFill>
                            <a:prstDash val="solid"/>
                            <a:headEnd type="none" w="med" len="med"/>
                            <a:tailEnd type="arrow" w="med" len="med"/>
                          </a:ln>
                        </wps:spPr>
                        <wps:bodyPr/>
                      </wps:wsp>
                      <wps:wsp>
                        <wps:cNvPr id="323" name="直接连接符 323"/>
                        <wps:cNvCnPr/>
                        <wps:spPr>
                          <a:xfrm rot="10800000">
                            <a:off x="6060" y="757622"/>
                            <a:ext cx="643" cy="1"/>
                          </a:xfrm>
                          <a:prstGeom prst="line">
                            <a:avLst/>
                          </a:prstGeom>
                          <a:ln w="9525" cap="flat" cmpd="sng">
                            <a:solidFill>
                              <a:srgbClr val="000000"/>
                            </a:solidFill>
                            <a:prstDash val="solid"/>
                            <a:headEnd type="none" w="med" len="med"/>
                            <a:tailEnd type="none" w="med" len="med"/>
                          </a:ln>
                        </wps:spPr>
                        <wps:bodyPr upright="1"/>
                      </wps:wsp>
                      <wps:wsp>
                        <wps:cNvPr id="324" name="文本框 324"/>
                        <wps:cNvSpPr txBox="1"/>
                        <wps:spPr>
                          <a:xfrm rot="-5400000">
                            <a:off x="7144" y="756981"/>
                            <a:ext cx="319" cy="1239"/>
                          </a:xfrm>
                          <a:prstGeom prst="rect">
                            <a:avLst/>
                          </a:prstGeom>
                          <a:noFill/>
                          <a:ln>
                            <a:noFill/>
                          </a:ln>
                        </wps:spPr>
                        <wps:txbx>
                          <w:txbxContent>
                            <w:p>
                              <w:pPr>
                                <w:spacing w:line="240" w:lineRule="auto"/>
                                <w:rPr>
                                  <w:rFonts w:hint="eastAsia"/>
                                </w:rPr>
                              </w:pPr>
                              <w:r>
                                <w:rPr>
                                  <w:rFonts w:hint="eastAsia"/>
                                </w:rPr>
                                <w:t>加盖封闭</w:t>
                              </w:r>
                            </w:p>
                          </w:txbxContent>
                        </wps:txbx>
                        <wps:bodyPr lIns="0" tIns="0" rIns="0" bIns="0" upright="1"/>
                      </wps:wsp>
                      <wps:wsp>
                        <wps:cNvPr id="325" name="文本框 325"/>
                        <wps:cNvSpPr txBox="1"/>
                        <wps:spPr>
                          <a:xfrm>
                            <a:off x="5886" y="760148"/>
                            <a:ext cx="388" cy="2471"/>
                          </a:xfrm>
                          <a:prstGeom prst="rect">
                            <a:avLst/>
                          </a:prstGeom>
                          <a:pattFill prst="cross">
                            <a:fgClr>
                              <a:srgbClr val="00FF00">
                                <a:alpha val="56999"/>
                              </a:srgbClr>
                            </a:fgClr>
                            <a:bgClr>
                              <a:srgbClr val="FFFFFF">
                                <a:alpha val="56999"/>
                              </a:srgbClr>
                            </a:bgClr>
                          </a:pattFill>
                          <a:ln>
                            <a:noFill/>
                          </a:ln>
                        </wps:spPr>
                        <wps:txbx>
                          <w:txbxContent>
                            <w:p/>
                          </w:txbxContent>
                        </wps:txbx>
                        <wps:bodyPr lIns="91439" tIns="45719" rIns="91439" bIns="45719" upright="1"/>
                      </wps:wsp>
                      <wps:wsp>
                        <wps:cNvPr id="326" name="直接箭头连接符 326"/>
                        <wps:cNvCnPr/>
                        <wps:spPr>
                          <a:xfrm flipH="1" flipV="1">
                            <a:off x="6205" y="762004"/>
                            <a:ext cx="567" cy="1"/>
                          </a:xfrm>
                          <a:prstGeom prst="straightConnector1">
                            <a:avLst/>
                          </a:prstGeom>
                          <a:ln w="9525" cap="flat" cmpd="sng">
                            <a:solidFill>
                              <a:srgbClr val="000000"/>
                            </a:solidFill>
                            <a:prstDash val="solid"/>
                            <a:headEnd type="none" w="med" len="med"/>
                            <a:tailEnd type="arrow" w="med" len="med"/>
                          </a:ln>
                        </wps:spPr>
                        <wps:bodyPr/>
                      </wps:wsp>
                      <wps:wsp>
                        <wps:cNvPr id="327" name="文本框 327"/>
                        <wps:cNvSpPr txBox="1"/>
                        <wps:spPr>
                          <a:xfrm rot="-5400000">
                            <a:off x="7150" y="761268"/>
                            <a:ext cx="318" cy="1261"/>
                          </a:xfrm>
                          <a:prstGeom prst="rect">
                            <a:avLst/>
                          </a:prstGeom>
                          <a:noFill/>
                          <a:ln>
                            <a:noFill/>
                          </a:ln>
                        </wps:spPr>
                        <wps:txbx>
                          <w:txbxContent>
                            <w:p>
                              <w:pPr>
                                <w:spacing w:line="240" w:lineRule="auto"/>
                                <w:rPr>
                                  <w:rFonts w:hint="eastAsia"/>
                                </w:rPr>
                              </w:pPr>
                              <w:r>
                                <w:rPr>
                                  <w:rFonts w:hint="eastAsia"/>
                                </w:rPr>
                                <w:t>筛管、窗纱</w:t>
                              </w:r>
                            </w:p>
                          </w:txbxContent>
                        </wps:txbx>
                        <wps:bodyPr lIns="0" tIns="0" rIns="0" bIns="0" upright="1"/>
                      </wps:wsp>
                      <wps:wsp>
                        <wps:cNvPr id="328" name="文本框 328"/>
                        <wps:cNvSpPr txBox="1"/>
                        <wps:spPr>
                          <a:xfrm rot="-5400000">
                            <a:off x="6918" y="762970"/>
                            <a:ext cx="318" cy="721"/>
                          </a:xfrm>
                          <a:prstGeom prst="rect">
                            <a:avLst/>
                          </a:prstGeom>
                          <a:noFill/>
                          <a:ln>
                            <a:noFill/>
                          </a:ln>
                        </wps:spPr>
                        <wps:txbx>
                          <w:txbxContent>
                            <w:p>
                              <w:pPr>
                                <w:spacing w:line="240" w:lineRule="auto"/>
                                <w:rPr>
                                  <w:rFonts w:hint="eastAsia"/>
                                </w:rPr>
                              </w:pPr>
                              <w:r>
                                <w:rPr>
                                  <w:rFonts w:hint="eastAsia"/>
                                </w:rPr>
                                <w:t>沉淀管</w:t>
                              </w:r>
                            </w:p>
                          </w:txbxContent>
                        </wps:txbx>
                        <wps:bodyPr lIns="0" tIns="0" rIns="0" bIns="0" upright="1"/>
                      </wps:wsp>
                      <wps:wsp>
                        <wps:cNvPr id="329" name="直接箭头连接符 329"/>
                        <wps:cNvCnPr/>
                        <wps:spPr>
                          <a:xfrm flipH="1" flipV="1">
                            <a:off x="6122" y="763414"/>
                            <a:ext cx="567" cy="1"/>
                          </a:xfrm>
                          <a:prstGeom prst="straightConnector1">
                            <a:avLst/>
                          </a:prstGeom>
                          <a:ln w="9525" cap="flat" cmpd="sng">
                            <a:solidFill>
                              <a:srgbClr val="000000"/>
                            </a:solidFill>
                            <a:prstDash val="solid"/>
                            <a:headEnd type="none" w="med" len="med"/>
                            <a:tailEnd type="arrow" w="med" len="med"/>
                          </a:ln>
                        </wps:spPr>
                        <wps:bodyPr/>
                      </wps:wsp>
                      <wpg:grpSp>
                        <wpg:cNvPr id="334" name="组合 334"/>
                        <wpg:cNvGrpSpPr/>
                        <wpg:grpSpPr>
                          <a:xfrm>
                            <a:off x="5511" y="761137"/>
                            <a:ext cx="345" cy="705"/>
                            <a:chOff x="4928" y="746244"/>
                            <a:chExt cx="345" cy="705"/>
                          </a:xfrm>
                        </wpg:grpSpPr>
                        <wps:wsp>
                          <wps:cNvPr id="330" name="直接连接符 330"/>
                          <wps:cNvCnPr/>
                          <wps:spPr>
                            <a:xfrm>
                              <a:off x="4935" y="746949"/>
                              <a:ext cx="338" cy="1"/>
                            </a:xfrm>
                            <a:prstGeom prst="line">
                              <a:avLst/>
                            </a:prstGeom>
                            <a:ln w="9525" cap="flat" cmpd="sng">
                              <a:solidFill>
                                <a:srgbClr val="00B0F0"/>
                              </a:solidFill>
                              <a:prstDash val="solid"/>
                              <a:miter/>
                              <a:headEnd type="none" w="med" len="med"/>
                              <a:tailEnd type="triangle" w="sm" len="sm"/>
                            </a:ln>
                          </wps:spPr>
                          <wps:bodyPr upright="1"/>
                        </wps:wsp>
                        <wps:wsp>
                          <wps:cNvPr id="331" name="直接连接符 331"/>
                          <wps:cNvCnPr/>
                          <wps:spPr>
                            <a:xfrm>
                              <a:off x="4928" y="746244"/>
                              <a:ext cx="338" cy="1"/>
                            </a:xfrm>
                            <a:prstGeom prst="line">
                              <a:avLst/>
                            </a:prstGeom>
                            <a:ln w="9525" cap="flat" cmpd="sng">
                              <a:solidFill>
                                <a:srgbClr val="00B0F0"/>
                              </a:solidFill>
                              <a:prstDash val="solid"/>
                              <a:miter/>
                              <a:headEnd type="none" w="med" len="med"/>
                              <a:tailEnd type="triangle" w="sm" len="sm"/>
                            </a:ln>
                          </wps:spPr>
                          <wps:bodyPr upright="1"/>
                        </wps:wsp>
                        <wps:wsp>
                          <wps:cNvPr id="332" name="直接连接符 332"/>
                          <wps:cNvCnPr/>
                          <wps:spPr>
                            <a:xfrm>
                              <a:off x="4928" y="746491"/>
                              <a:ext cx="338" cy="1"/>
                            </a:xfrm>
                            <a:prstGeom prst="line">
                              <a:avLst/>
                            </a:prstGeom>
                            <a:ln w="9525" cap="flat" cmpd="sng">
                              <a:solidFill>
                                <a:srgbClr val="00B0F0"/>
                              </a:solidFill>
                              <a:prstDash val="solid"/>
                              <a:miter/>
                              <a:headEnd type="none" w="med" len="med"/>
                              <a:tailEnd type="triangle" w="sm" len="sm"/>
                            </a:ln>
                          </wps:spPr>
                          <wps:bodyPr upright="1"/>
                        </wps:wsp>
                        <wps:wsp>
                          <wps:cNvPr id="333" name="直接连接符 333"/>
                          <wps:cNvCnPr/>
                          <wps:spPr>
                            <a:xfrm>
                              <a:off x="4928" y="746709"/>
                              <a:ext cx="338" cy="1"/>
                            </a:xfrm>
                            <a:prstGeom prst="line">
                              <a:avLst/>
                            </a:prstGeom>
                            <a:ln w="9525" cap="flat" cmpd="sng">
                              <a:solidFill>
                                <a:srgbClr val="00B0F0"/>
                              </a:solidFill>
                              <a:prstDash val="solid"/>
                              <a:miter/>
                              <a:headEnd type="none" w="med" len="med"/>
                              <a:tailEnd type="triangle" w="sm" len="sm"/>
                            </a:ln>
                          </wps:spPr>
                          <wps:bodyPr upright="1"/>
                        </wps:wsp>
                      </wpg:grpSp>
                      <wpg:grpSp>
                        <wpg:cNvPr id="339" name="组合 339"/>
                        <wpg:cNvGrpSpPr/>
                        <wpg:grpSpPr>
                          <a:xfrm rot="10800000">
                            <a:off x="6329" y="761062"/>
                            <a:ext cx="345" cy="705"/>
                            <a:chOff x="4928" y="746244"/>
                            <a:chExt cx="345" cy="705"/>
                          </a:xfrm>
                        </wpg:grpSpPr>
                        <wps:wsp>
                          <wps:cNvPr id="335" name="直接连接符 335"/>
                          <wps:cNvCnPr/>
                          <wps:spPr>
                            <a:xfrm>
                              <a:off x="4935" y="746949"/>
                              <a:ext cx="338" cy="1"/>
                            </a:xfrm>
                            <a:prstGeom prst="line">
                              <a:avLst/>
                            </a:prstGeom>
                            <a:ln w="9525" cap="flat" cmpd="sng">
                              <a:solidFill>
                                <a:srgbClr val="00B0F0"/>
                              </a:solidFill>
                              <a:prstDash val="solid"/>
                              <a:miter/>
                              <a:headEnd type="none" w="med" len="med"/>
                              <a:tailEnd type="triangle" w="sm" len="sm"/>
                            </a:ln>
                          </wps:spPr>
                          <wps:bodyPr upright="1"/>
                        </wps:wsp>
                        <wps:wsp>
                          <wps:cNvPr id="336" name="直接连接符 336"/>
                          <wps:cNvCnPr/>
                          <wps:spPr>
                            <a:xfrm>
                              <a:off x="4928" y="746244"/>
                              <a:ext cx="338" cy="1"/>
                            </a:xfrm>
                            <a:prstGeom prst="line">
                              <a:avLst/>
                            </a:prstGeom>
                            <a:ln w="9525" cap="flat" cmpd="sng">
                              <a:solidFill>
                                <a:srgbClr val="00B0F0"/>
                              </a:solidFill>
                              <a:prstDash val="solid"/>
                              <a:miter/>
                              <a:headEnd type="none" w="med" len="med"/>
                              <a:tailEnd type="triangle" w="sm" len="sm"/>
                            </a:ln>
                          </wps:spPr>
                          <wps:bodyPr upright="1"/>
                        </wps:wsp>
                        <wps:wsp>
                          <wps:cNvPr id="337" name="直接连接符 337"/>
                          <wps:cNvCnPr/>
                          <wps:spPr>
                            <a:xfrm>
                              <a:off x="4928" y="746491"/>
                              <a:ext cx="338" cy="1"/>
                            </a:xfrm>
                            <a:prstGeom prst="line">
                              <a:avLst/>
                            </a:prstGeom>
                            <a:ln w="9525" cap="flat" cmpd="sng">
                              <a:solidFill>
                                <a:srgbClr val="00B0F0"/>
                              </a:solidFill>
                              <a:prstDash val="solid"/>
                              <a:miter/>
                              <a:headEnd type="none" w="med" len="med"/>
                              <a:tailEnd type="triangle" w="sm" len="sm"/>
                            </a:ln>
                          </wps:spPr>
                          <wps:bodyPr upright="1"/>
                        </wps:wsp>
                        <wps:wsp>
                          <wps:cNvPr id="338" name="直接连接符 338"/>
                          <wps:cNvCnPr/>
                          <wps:spPr>
                            <a:xfrm>
                              <a:off x="4928" y="746709"/>
                              <a:ext cx="338" cy="1"/>
                            </a:xfrm>
                            <a:prstGeom prst="line">
                              <a:avLst/>
                            </a:prstGeom>
                            <a:ln w="9525" cap="flat" cmpd="sng">
                              <a:solidFill>
                                <a:srgbClr val="00B0F0"/>
                              </a:solidFill>
                              <a:prstDash val="solid"/>
                              <a:miter/>
                              <a:headEnd type="none" w="med" len="med"/>
                              <a:tailEnd type="triangle" w="sm" len="sm"/>
                            </a:ln>
                          </wps:spPr>
                          <wps:bodyPr upright="1"/>
                        </wps:wsp>
                      </wpg:grpSp>
                      <wps:wsp>
                        <wps:cNvPr id="340" name="直接连接符 340"/>
                        <wps:cNvCnPr/>
                        <wps:spPr>
                          <a:xfrm>
                            <a:off x="5871" y="760672"/>
                            <a:ext cx="428" cy="1"/>
                          </a:xfrm>
                          <a:prstGeom prst="line">
                            <a:avLst/>
                          </a:prstGeom>
                          <a:ln w="31750" cap="flat" cmpd="sng">
                            <a:solidFill>
                              <a:srgbClr val="00B0F0"/>
                            </a:solidFill>
                            <a:prstDash val="solid"/>
                            <a:miter/>
                            <a:headEnd type="none" w="med" len="med"/>
                            <a:tailEnd type="none" w="med" len="med"/>
                          </a:ln>
                        </wps:spPr>
                        <wps:bodyPr upright="1"/>
                      </wps:wsp>
                      <wps:wsp>
                        <wps:cNvPr id="341" name="直接箭头连接符 341"/>
                        <wps:cNvCnPr/>
                        <wps:spPr>
                          <a:xfrm flipH="1" flipV="1">
                            <a:off x="6280" y="760677"/>
                            <a:ext cx="567" cy="1"/>
                          </a:xfrm>
                          <a:prstGeom prst="straightConnector1">
                            <a:avLst/>
                          </a:prstGeom>
                          <a:ln w="9525" cap="flat" cmpd="sng">
                            <a:solidFill>
                              <a:srgbClr val="000000"/>
                            </a:solidFill>
                            <a:prstDash val="solid"/>
                            <a:headEnd type="none" w="med" len="med"/>
                            <a:tailEnd type="arrow" w="med" len="med"/>
                          </a:ln>
                        </wps:spPr>
                        <wps:bodyPr/>
                      </wps:wsp>
                      <wps:wsp>
                        <wps:cNvPr id="342" name="文本框 342"/>
                        <wps:cNvSpPr txBox="1"/>
                        <wps:spPr>
                          <a:xfrm rot="-5400000">
                            <a:off x="7083" y="760133"/>
                            <a:ext cx="318" cy="923"/>
                          </a:xfrm>
                          <a:prstGeom prst="rect">
                            <a:avLst/>
                          </a:prstGeom>
                          <a:noFill/>
                          <a:ln>
                            <a:noFill/>
                          </a:ln>
                        </wps:spPr>
                        <wps:txbx>
                          <w:txbxContent>
                            <w:p>
                              <w:pPr>
                                <w:spacing w:line="240" w:lineRule="auto"/>
                                <w:rPr>
                                  <w:rFonts w:hint="eastAsia"/>
                                </w:rPr>
                              </w:pPr>
                              <w:r>
                                <w:rPr>
                                  <w:rFonts w:hint="eastAsia"/>
                                </w:rPr>
                                <w:t>稳定水位</w:t>
                              </w:r>
                            </w:p>
                          </w:txbxContent>
                        </wps:txbx>
                        <wps:bodyPr lIns="0" tIns="0" rIns="0" bIns="0" upright="1"/>
                      </wps:wsp>
                      <wps:wsp>
                        <wps:cNvPr id="383" name="文本框 383"/>
                        <wps:cNvSpPr txBox="1"/>
                        <wps:spPr>
                          <a:xfrm>
                            <a:off x="5872" y="760699"/>
                            <a:ext cx="429" cy="3418"/>
                          </a:xfrm>
                          <a:prstGeom prst="rect">
                            <a:avLst/>
                          </a:prstGeom>
                          <a:solidFill>
                            <a:srgbClr val="00B0F0">
                              <a:alpha val="29999"/>
                            </a:srgbClr>
                          </a:solidFill>
                          <a:ln w="15875">
                            <a:noFill/>
                          </a:ln>
                        </wps:spPr>
                        <wps:txbx>
                          <w:txbxContent>
                            <w:p/>
                          </w:txbxContent>
                        </wps:txbx>
                        <wps:bodyPr upright="1"/>
                      </wps:wsp>
                    </wpg:wgp>
                  </a:graphicData>
                </a:graphic>
              </wp:anchor>
            </w:drawing>
          </mc:Choice>
          <mc:Fallback>
            <w:pict>
              <v:group id="_x0000_s1026" o:spid="_x0000_s1026" o:spt="203" style="position:absolute;left:0pt;margin-left:185.85pt;margin-top:4.9pt;height:350.2pt;width:128pt;z-index:2116289536;mso-width-relative:page;mso-height-relative:page;" coordorigin="5511,757470" coordsize="2560,7004" o:gfxdata="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">
                <o:lock v:ext="edit" aspectratio="f"/>
                <v:rect id="_x0000_s1026" o:spid="_x0000_s1026" o:spt="1" style="position:absolute;left:5871;top:757857;height:6245;width:425;" filled="f" stroked="t" coordsize="21600,21600" o:gfxdata="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nHg2/&#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rect>
                <v:shape id="_x0000_s1026" o:spid="_x0000_s1026" o:spt="3" type="#_x0000_t3" style="position:absolute;left:5927;top:761519;height:85;width:85;" fillcolor="#FFFFFF" filled="t" stroked="t" coordsize="21600,21600" o:gfxdata="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4gm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49;top:761508;height:85;width:85;" fillcolor="#FFFFFF" filled="t" stroked="t" coordsize="21600,21600" o:gfxdata="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Z3p9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5925;top:761781;height:85;width:85;" fillcolor="#FFFFFF" filled="t" stroked="t" coordsize="21600,21600" o:gfxdata="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9/m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6146;top:761788;height:85;width:85;" fillcolor="#FFFFFF" filled="t" stroked="t" coordsize="21600,21600" o:gfxdata="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QZ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45;top:762045;height:85;width:85;" fillcolor="#FFFFFF" filled="t" stroked="t" coordsize="21600,21600" o:gfxdata="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eQK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5926;top:762044;height:85;width:85;" fillcolor="#FFFFFF" filled="t" stroked="t" coordsize="21600,21600" o:gfxdata="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KnB4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6050;top:761651;height:85;width:85;" fillcolor="#FFFFFF" filled="t" stroked="t" coordsize="21600,21600" o:gfxdata="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Xj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6034;top:761917;height:85;width:85;" fillcolor="#FFFFFF" filled="t" stroked="t" coordsize="21600,21600" o:gfxdata="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35mS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shape>
                <v:shape id="_x0000_s1026" o:spid="_x0000_s1026" o:spt="3" type="#_x0000_t3" style="position:absolute;left:5914;top:761268;height:85;width:85;" fillcolor="#FFFFFF" filled="t" stroked="t" coordsize="21600,21600" o:gfxdata="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7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037;top:761400;height:85;width:85;" fillcolor="#FFFFFF" filled="t" stroked="t" coordsize="21600,21600" o:gfxdata="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ndi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shape id="_x0000_s1026" o:spid="_x0000_s1026" o:spt="202" type="#_x0000_t202" style="position:absolute;left:6297;top:759950;height:4159;width:210;" fillcolor="#000000" filled="t" stroked="t" coordsize="21600,21600" o:gfxdata="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kDOvQAA&#10;ANwAAAAPAAAAAAAAAAEAIAAAACIAAABkcnMvZG93bnJldi54bWxQSwECFAAUAAAACACHTuJAMy8F&#10;njsAAAA5AAAAEAAAAAAAAAABACAAAAAMAQAAZHJzL3NoYXBleG1sLnhtbFBLBQYAAAAABgAGAFsB&#10;AAC2AwAAAAA=&#10;">
                  <v:fill type="pattern" on="t" color2="#FFFFFF" focussize="0,0" r:id="rId60"/>
                  <v:stroke color="#000000" joinstyle="miter"/>
                  <v:imagedata o:title=""/>
                  <o:lock v:ext="edit" aspectratio="f"/>
                  <v:textbox inset="7.19992125984252pt,3.59992125984252pt,7.19992125984252pt,3.59992125984252pt" style="layout-flow:vertical-ideographic;">
                    <w:txbxContent>
                      <w:p/>
                    </w:txbxContent>
                  </v:textbox>
                </v:shape>
                <v:shape id="_x0000_s1026" o:spid="_x0000_s1026" o:spt="202" type="#_x0000_t202" style="position:absolute;left:5661;top:759968;height:4139;width:210;" fillcolor="#000000" filled="t" stroked="t" coordsize="21600,21600" o:gfxdata="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Yur4A&#10;AADcAAAADwAAAAAAAAABACAAAAAiAAAAZHJzL2Rvd25yZXYueG1sUEsBAhQAFAAAAAgAh07iQDMv&#10;BZ47AAAAOQAAABAAAAAAAAAAAQAgAAAADQEAAGRycy9zaGFwZXhtbC54bWxQSwUGAAAAAAYABgBb&#10;AQAAtwMAAAAA&#10;">
                  <v:fill type="pattern" on="t" color2="#FFFFFF" focussize="0,0" r:id="rId60"/>
                  <v:stroke color="#000000" joinstyle="miter"/>
                  <v:imagedata o:title=""/>
                  <o:lock v:ext="edit" aspectratio="f"/>
                  <v:textbox inset="7.19992125984252pt,3.59992125984252pt,7.19992125984252pt,3.59992125984252pt" style="layout-flow:vertical-ideographic;">
                    <w:txbxContent>
                      <w:p/>
                    </w:txbxContent>
                  </v:textbox>
                </v:shape>
                <v:shape id="_x0000_s1026" o:spid="_x0000_s1026" o:spt="202" type="#_x0000_t202" style="position:absolute;left:6295;top:758124;height:1839;width:210;" fillcolor="#FF9900" filled="t" stroked="t" coordsize="21600,21600" o:gfxdata="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oMOvQAA&#10;ANwAAAAPAAAAAAAAAAEAIAAAACIAAABkcnMvZG93bnJldi54bWxQSwECFAAUAAAACACHTuJAMy8F&#10;njsAAAA5AAAAEAAAAAAAAAABACAAAAAMAQAAZHJzL3NoYXBleG1sLnhtbFBLBQYAAAAABgAGAFsB&#10;AAC2AwAAAAA=&#10;">
                  <v:fill type="pattern" on="t" color2="#FFFFFF" focussize="0,0" r:id="rId61"/>
                  <v:stroke color="#000000" joinstyle="miter"/>
                  <v:imagedata o:title=""/>
                  <o:lock v:ext="edit" aspectratio="f"/>
                  <v:textbox inset="7.19992125984252pt,3.59992125984252pt,7.19992125984252pt,3.59992125984252pt" style="layout-flow:vertical-ideographic;">
                    <w:txbxContent>
                      <w:p/>
                    </w:txbxContent>
                  </v:textbox>
                </v:shape>
                <v:shape id="_x0000_s1026" o:spid="_x0000_s1026" o:spt="202" type="#_x0000_t202" style="position:absolute;left:5660;top:758134;height:1831;width:210;" fillcolor="#FF9900" filled="t" stroked="t" coordsize="21600,21600" o:gfxdata="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B15vQAA&#10;ANwAAAAPAAAAAAAAAAEAIAAAACIAAABkcnMvZG93bnJldi54bWxQSwECFAAUAAAACACHTuJAMy8F&#10;njsAAAA5AAAAEAAAAAAAAAABACAAAAAMAQAAZHJzL3NoYXBleG1sLnhtbFBLBQYAAAAABgAGAFsB&#10;AAC2AwAAAAA=&#10;">
                  <v:fill type="pattern" on="t" color2="#FFFFFF" focussize="0,0" r:id="rId61"/>
                  <v:stroke color="#000000" joinstyle="miter"/>
                  <v:imagedata o:title=""/>
                  <o:lock v:ext="edit" aspectratio="f"/>
                  <v:textbox inset="7.19992125984252pt,3.59992125984252pt,7.19992125984252pt,3.59992125984252pt" style="layout-flow:vertical-ideographic;">
                    <w:txbxContent>
                      <w:p/>
                    </w:txbxContent>
                  </v:textbox>
                </v:shape>
                <v:shape id="_x0000_s1026" o:spid="_x0000_s1026" o:spt="3" type="#_x0000_t3" style="position:absolute;left:5924;top:761015;height:85;width:85;" fillcolor="#FFFFFF" filled="t" stroked="t" coordsize="21600,21600" o:gfxdata="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4Q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6136;top:761003;height:85;width:85;" fillcolor="#FFFFFF" filled="t" stroked="t" coordsize="21600,21600" o:gfxdata="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6mK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shape>
                <v:shape id="_x0000_s1026" o:spid="_x0000_s1026" o:spt="3" type="#_x0000_t3" style="position:absolute;left:6035;top:761151;height:85;width:85;" fillcolor="#FFFFFF" filled="t" stroked="t" coordsize="21600,21600" o:gfxdata="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NT/m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50;top:761262;height:85;width:85;" fillcolor="#FFFFFF" filled="t" stroked="t" coordsize="21600,21600" o:gfxdata="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ucLm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shape>
                <v:shape id="_x0000_s1026" o:spid="_x0000_s1026" o:spt="3" type="#_x0000_t3" style="position:absolute;left:6033;top:760890;height:85;width:85;" fillcolor="#FFFFFF" filled="t" stroked="t" coordsize="21600,21600" o:gfxdata="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i1S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28;top:760751;height:85;width:85;" fillcolor="#FFFFFF" filled="t" stroked="t" coordsize="21600,21600" o:gfxdata="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wS1W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5919;top:760739;height:85;width:85;" fillcolor="#FFFFFF" filled="t" stroked="t" coordsize="21600,21600" o:gfxdata="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87s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3" type="#_x0000_t3" style="position:absolute;left:6143;top:760475;height:85;width:85;" fillcolor="#FFFFFF" filled="t" stroked="t" coordsize="21600,21600" o:gfxdata="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a6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6020;top:760602;height:85;width:85;" fillcolor="#FFFFFF" filled="t" stroked="t" coordsize="21600,21600" o:gfxdata="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dMh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5906;top:760464;height:85;width:85;" fillcolor="#FFFFFF" filled="t" stroked="t" coordsize="21600,21600" o:gfxdata="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LTV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_x0000_s1026" o:spid="_x0000_s1026" o:spt="202" type="#_x0000_t202" style="position:absolute;left:6664;top:758785;height:721;width:318;rotation:-5898240f;" filled="f" stroked="f" coordsize="21600,21600" o:gfxdata="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Mf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auto"/>
                          <w:rPr>
                            <w:rFonts w:hint="eastAsia"/>
                          </w:rPr>
                        </w:pPr>
                        <w:r>
                          <w:rPr>
                            <w:rFonts w:hint="eastAsia"/>
                          </w:rPr>
                          <w:t>膨润土</w:t>
                        </w:r>
                      </w:p>
                    </w:txbxContent>
                  </v:textbox>
                </v:shape>
                <v:shape id="_x0000_s1026" o:spid="_x0000_s1026" o:spt="202" type="#_x0000_t202" style="position:absolute;left:6655;top:762232;height:721;width:318;rotation:-5898240f;" filled="f" stroked="f" coordsize="21600,21600" o:gfxdata="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T6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auto"/>
                          <w:rPr>
                            <w:rFonts w:hint="eastAsia"/>
                          </w:rPr>
                        </w:pPr>
                        <w:r>
                          <w:rPr>
                            <w:rFonts w:hint="eastAsia"/>
                          </w:rPr>
                          <w:t>石英砂</w:t>
                        </w:r>
                      </w:p>
                    </w:txbxContent>
                  </v:textbox>
                </v:shape>
                <v:shape id="_x0000_s1026" o:spid="_x0000_s1026" o:spt="32" type="#_x0000_t32" style="position:absolute;left:6094;top:764105;flip:y;height:227;width:1;" filled="f" stroked="t" coordsize="21600,21600" o:gfxdata="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boA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line id="_x0000_s1026" o:spid="_x0000_s1026" o:spt="20" style="position:absolute;left:6095;top:764335;height:1;width:678;" filled="f" stroked="t" coordsize="21600,21600" o:gfxdata="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Mq6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7291;top:763694;height:1242;width:318;rotation:-5898240f;" filled="f" stroked="f" coordsize="21600,21600" o:gfxdata="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Yvr&#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40" w:lineRule="auto"/>
                          <w:rPr>
                            <w:rFonts w:hint="eastAsia"/>
                          </w:rPr>
                        </w:pPr>
                        <w:r>
                          <w:rPr>
                            <w:rFonts w:hint="eastAsia"/>
                          </w:rPr>
                          <w:t>加盖封闭</w:t>
                        </w:r>
                      </w:p>
                    </w:txbxContent>
                  </v:textbox>
                </v:shape>
                <v:shape id="_x0000_s1026" o:spid="_x0000_s1026" o:spt="32" type="#_x0000_t32" style="position:absolute;left:6064;top:757620;flip:y;height:227;width:1;rotation:11796480f;" filled="f" stroked="t" coordsize="21600,21600" o:gfxdata="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Iyl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line id="_x0000_s1026" o:spid="_x0000_s1026" o:spt="20" style="position:absolute;left:6060;top:757622;height:1;width:643;rotation:11796480f;" filled="f" stroked="t" coordsize="21600,21600" o:gfxdata="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x0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7144;top:756981;height:1239;width:319;rotation:-5898240f;" filled="f" stroked="f" coordsize="21600,21600" o:gfxdata="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zIo&#10;c8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40" w:lineRule="auto"/>
                          <w:rPr>
                            <w:rFonts w:hint="eastAsia"/>
                          </w:rPr>
                        </w:pPr>
                        <w:r>
                          <w:rPr>
                            <w:rFonts w:hint="eastAsia"/>
                          </w:rPr>
                          <w:t>加盖封闭</w:t>
                        </w:r>
                      </w:p>
                    </w:txbxContent>
                  </v:textbox>
                </v:shape>
                <v:shape id="_x0000_s1026" o:spid="_x0000_s1026" o:spt="202" type="#_x0000_t202" style="position:absolute;left:5886;top:760148;height:2471;width:388;" fillcolor="#00FF00" filled="t" stroked="f" coordsize="21600,21600" o:gfxdata="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otfL4A&#10;AADcAAAADwAAAAAAAAABACAAAAAiAAAAZHJzL2Rvd25yZXYueG1sUEsBAhQAFAAAAAgAh07iQDMv&#10;BZ47AAAAOQAAABAAAAAAAAAAAQAgAAAADQEAAGRycy9zaGFwZXhtbC54bWxQSwUGAAAAAAYABgBb&#10;AQAAtwMAAAAA&#10;">
                  <v:fill type="pattern" on="t" color2="#FFFFFF" opacity="37354f" o:opacity2="37354f" focussize="0,0" r:id="rId62"/>
                  <v:stroke on="f"/>
                  <v:imagedata o:title=""/>
                  <o:lock v:ext="edit" aspectratio="f"/>
                  <v:textbox inset="7.19992125984252pt,3.59992125984252pt,7.19992125984252pt,3.59992125984252pt">
                    <w:txbxContent>
                      <w:p/>
                    </w:txbxContent>
                  </v:textbox>
                </v:shape>
                <v:shape id="_x0000_s1026" o:spid="_x0000_s1026" o:spt="32" type="#_x0000_t32" style="position:absolute;left:6205;top:762004;flip:x y;height:1;width:567;" filled="f" stroked="t" coordsize="21600,21600" o:gfxdata="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2k8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202" type="#_x0000_t202" style="position:absolute;left:7150;top:761268;height:1261;width:318;rotation:-5898240f;" filled="f" stroked="f" coordsize="21600,21600" o:gfxdata="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t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auto"/>
                          <w:rPr>
                            <w:rFonts w:hint="eastAsia"/>
                          </w:rPr>
                        </w:pPr>
                        <w:r>
                          <w:rPr>
                            <w:rFonts w:hint="eastAsia"/>
                          </w:rPr>
                          <w:t>筛管、窗纱</w:t>
                        </w:r>
                      </w:p>
                    </w:txbxContent>
                  </v:textbox>
                </v:shape>
                <v:shape id="_x0000_s1026" o:spid="_x0000_s1026" o:spt="202" type="#_x0000_t202" style="position:absolute;left:6918;top:762970;height:721;width:318;rotation:-5898240f;" filled="f" stroked="f" coordsize="21600,21600" o:gfxdata="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I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auto"/>
                          <w:rPr>
                            <w:rFonts w:hint="eastAsia"/>
                          </w:rPr>
                        </w:pPr>
                        <w:r>
                          <w:rPr>
                            <w:rFonts w:hint="eastAsia"/>
                          </w:rPr>
                          <w:t>沉淀管</w:t>
                        </w:r>
                      </w:p>
                    </w:txbxContent>
                  </v:textbox>
                </v:shape>
                <v:shape id="_x0000_s1026" o:spid="_x0000_s1026" o:spt="32" type="#_x0000_t32" style="position:absolute;left:6122;top:763414;flip:x y;height:1;width:567;" filled="f" stroked="t" coordsize="21600,21600" o:gfxdata="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CMIG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id="_x0000_s1026" o:spid="_x0000_s1026" o:spt="203" style="position:absolute;left:5511;top:761137;height:705;width:345;" coordorigin="4928,746244" coordsize="345,705"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line id="_x0000_s1026" o:spid="_x0000_s1026" o:spt="20" style="position:absolute;left:4935;top:746949;height:1;width:338;" filled="f" stroked="t" coordsize="21600,21600" o:gfxdata="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fMLsAAADc&#10;AAAADwAAAAAAAAABACAAAAAiAAAAZHJzL2Rvd25yZXYueG1sUEsBAhQAFAAAAAgAh07iQDMvBZ47&#10;AAAAOQAAABAAAAAAAAAAAQAgAAAACgEAAGRycy9zaGFwZXhtbC54bWxQSwUGAAAAAAYABgBbAQAA&#10;tAMAAAAA&#10;">
                    <v:fill on="f" focussize="0,0"/>
                    <v:stroke color="#00B0F0" joinstyle="miter" endarrow="block" endarrowwidth="narrow" endarrowlength="short"/>
                    <v:imagedata o:title=""/>
                    <o:lock v:ext="edit" aspectratio="f"/>
                  </v:line>
                  <v:line id="_x0000_s1026" o:spid="_x0000_s1026" o:spt="20" style="position:absolute;left:4928;top:746244;height:1;width:338;" filled="f" stroked="t" coordsize="21600,21600" o:gfxdata="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Z3qrvQAA&#10;ANwAAAAPAAAAAAAAAAEAIAAAACIAAABkcnMvZG93bnJldi54bWxQSwECFAAUAAAACACHTuJAMy8F&#10;njsAAAA5AAAAEAAAAAAAAAABACAAAAAMAQAAZHJzL3NoYXBleG1sLnhtbFBLBQYAAAAABgAGAFsB&#10;AAC2AwAAAAA=&#10;">
                    <v:fill on="f" focussize="0,0"/>
                    <v:stroke color="#00B0F0" joinstyle="miter" endarrow="block" endarrowwidth="narrow" endarrowlength="short"/>
                    <v:imagedata o:title=""/>
                    <o:lock v:ext="edit" aspectratio="f"/>
                  </v:line>
                  <v:line id="_x0000_s1026" o:spid="_x0000_s1026" o:spt="20" style="position:absolute;left:4928;top:746491;height:1;width:338;" filled="f" stroked="t" coordsize="21600,21600" o:gfxdata="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Xk3L4A&#10;AADcAAAADwAAAAAAAAABACAAAAAiAAAAZHJzL2Rvd25yZXYueG1sUEsBAhQAFAAAAAgAh07iQDMv&#10;BZ47AAAAOQAAABAAAAAAAAAAAQAgAAAADQEAAGRycy9zaGFwZXhtbC54bWxQSwUGAAAAAAYABgBb&#10;AQAAtwMAAAAA&#10;">
                    <v:fill on="f" focussize="0,0"/>
                    <v:stroke color="#00B0F0" joinstyle="miter" endarrow="block" endarrowwidth="narrow" endarrowlength="short"/>
                    <v:imagedata o:title=""/>
                    <o:lock v:ext="edit" aspectratio="f"/>
                  </v:line>
                  <v:line id="_x0000_s1026" o:spid="_x0000_s1026" o:spt="20" style="position:absolute;left:4928;top:746709;height:1;width:338;" filled="f" stroked="t" coordsize="21600,21600" o:gfxdata="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FHvQAA&#10;ANwAAAAPAAAAAAAAAAEAIAAAACIAAABkcnMvZG93bnJldi54bWxQSwECFAAUAAAACACHTuJAMy8F&#10;njsAAAA5AAAAEAAAAAAAAAABACAAAAAMAQAAZHJzL3NoYXBleG1sLnhtbFBLBQYAAAAABgAGAFsB&#10;AAC2AwAAAAA=&#10;">
                    <v:fill on="f" focussize="0,0"/>
                    <v:stroke color="#00B0F0" joinstyle="miter" endarrow="block" endarrowwidth="narrow" endarrowlength="short"/>
                    <v:imagedata o:title=""/>
                    <o:lock v:ext="edit" aspectratio="f"/>
                  </v:line>
                </v:group>
                <v:group id="_x0000_s1026" o:spid="_x0000_s1026" o:spt="203" style="position:absolute;left:6329;top:761062;height:705;width:345;rotation:11796480f;" coordorigin="4928,746244" coordsize="345,705" o:gfxdata="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As2mr0AAADcAAAADwAAAAAAAAABACAAAAAiAAAAZHJzL2Rvd25yZXYueG1s&#10;UEsBAhQAFAAAAAgAh07iQDMvBZ47AAAAOQAAABUAAAAAAAAAAQAgAAAADAEAAGRycy9ncm91cHNo&#10;YXBleG1sLnhtbFBLBQYAAAAABgAGAGABAADJAwAAAAA=&#10;">
                  <o:lock v:ext="edit" aspectratio="f"/>
                  <v:line id="_x0000_s1026" o:spid="_x0000_s1026" o:spt="20" style="position:absolute;left:4935;top:746949;height:1;width:338;" filled="f" stroked="t" coordsize="21600,21600" o:gfxdata="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cfKi8AAAA&#10;3AAAAA8AAAAAAAAAAQAgAAAAIgAAAGRycy9kb3ducmV2LnhtbFBLAQIUABQAAAAIAIdO4kAzLwWe&#10;OwAAADkAAAAQAAAAAAAAAAEAIAAAAAsBAABkcnMvc2hhcGV4bWwueG1sUEsFBgAAAAAGAAYAWwEA&#10;ALUDAAAAAA==&#10;">
                    <v:fill on="f" focussize="0,0"/>
                    <v:stroke color="#00B0F0" joinstyle="miter" endarrow="block" endarrowwidth="narrow" endarrowlength="short"/>
                    <v:imagedata o:title=""/>
                    <o:lock v:ext="edit" aspectratio="f"/>
                  </v:line>
                  <v:line id="_x0000_s1026" o:spid="_x0000_s1026" o:spt="20" style="position:absolute;left:4928;top:746244;height:1;width:338;" filled="f" stroked="t" coordsize="21600,21600" o:gfxdata="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O4t+8AAAA&#10;3AAAAA8AAAAAAAAAAQAgAAAAIgAAAGRycy9kb3ducmV2LnhtbFBLAQIUABQAAAAIAIdO4kAzLwWe&#10;OwAAADkAAAAQAAAAAAAAAAEAIAAAAAsBAABkcnMvc2hhcGV4bWwueG1sUEsFBgAAAAAGAAYAWwEA&#10;ALUDAAAAAA==&#10;">
                    <v:fill on="f" focussize="0,0"/>
                    <v:stroke color="#00B0F0" joinstyle="miter" endarrow="block" endarrowwidth="narrow" endarrowlength="short"/>
                    <v:imagedata o:title=""/>
                    <o:lock v:ext="edit" aspectratio="f"/>
                  </v:line>
                  <v:line id="_x0000_s1026" o:spid="_x0000_s1026" o:spt="20" style="position:absolute;left:4928;top:746491;height:1;width:338;" filled="f" stroked="t" coordsize="21600,21600" o:gfxdata="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CR0S8AAAA&#10;3AAAAA8AAAAAAAAAAQAgAAAAIgAAAGRycy9kb3ducmV2LnhtbFBLAQIUABQAAAAIAIdO4kAzLwWe&#10;OwAAADkAAAAQAAAAAAAAAAEAIAAAAAsBAABkcnMvc2hhcGV4bWwueG1sUEsFBgAAAAAGAAYAWwEA&#10;ALUDAAAAAA==&#10;">
                    <v:fill on="f" focussize="0,0"/>
                    <v:stroke color="#00B0F0" joinstyle="miter" endarrow="block" endarrowwidth="narrow" endarrowlength="short"/>
                    <v:imagedata o:title=""/>
                    <o:lock v:ext="edit" aspectratio="f"/>
                  </v:line>
                  <v:line id="_x0000_s1026" o:spid="_x0000_s1026" o:spt="20" style="position:absolute;left:4928;top:746709;height:1;width:338;" filled="f" stroked="t" coordsize="21600,21600" o:gfxdata="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3TNrsAAADc&#10;AAAADwAAAAAAAAABACAAAAAiAAAAZHJzL2Rvd25yZXYueG1sUEsBAhQAFAAAAAgAh07iQDMvBZ47&#10;AAAAOQAAABAAAAAAAAAAAQAgAAAACgEAAGRycy9zaGFwZXhtbC54bWxQSwUGAAAAAAYABgBbAQAA&#10;tAMAAAAA&#10;">
                    <v:fill on="f" focussize="0,0"/>
                    <v:stroke color="#00B0F0" joinstyle="miter" endarrow="block" endarrowwidth="narrow" endarrowlength="short"/>
                    <v:imagedata o:title=""/>
                    <o:lock v:ext="edit" aspectratio="f"/>
                  </v:line>
                </v:group>
                <v:line id="_x0000_s1026" o:spid="_x0000_s1026" o:spt="20" style="position:absolute;left:5871;top:760672;height:1;width:428;" filled="f" stroked="t" coordsize="21600,21600" o:gfxdata="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6piu8AAAA&#10;3AAAAA8AAAAAAAAAAQAgAAAAIgAAAGRycy9kb3ducmV2LnhtbFBLAQIUABQAAAAIAIdO4kAzLwWe&#10;OwAAADkAAAAQAAAAAAAAAAEAIAAAAAsBAABkcnMvc2hhcGV4bWwueG1sUEsFBgAAAAAGAAYAWwEA&#10;ALUDAAAAAA==&#10;">
                  <v:fill on="f" focussize="0,0"/>
                  <v:stroke weight="2.5pt" color="#00B0F0" joinstyle="miter"/>
                  <v:imagedata o:title=""/>
                  <o:lock v:ext="edit" aspectratio="f"/>
                </v:line>
                <v:shape id="_x0000_s1026" o:spid="_x0000_s1026" o:spt="32" type="#_x0000_t32" style="position:absolute;left:6280;top:760677;flip:x y;height:1;width:567;" filled="f" stroked="t" coordsize="21600,21600" o:gfxdata="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69kn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_x0000_s1026" o:spid="_x0000_s1026" o:spt="202" type="#_x0000_t202" style="position:absolute;left:7083;top:760133;height:923;width:318;rotation:-5898240f;" filled="f" stroked="f" coordsize="21600,21600" o:gfxdata="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jw&#10;PM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40" w:lineRule="auto"/>
                          <w:rPr>
                            <w:rFonts w:hint="eastAsia"/>
                          </w:rPr>
                        </w:pPr>
                        <w:r>
                          <w:rPr>
                            <w:rFonts w:hint="eastAsia"/>
                          </w:rPr>
                          <w:t>稳定水位</w:t>
                        </w:r>
                      </w:p>
                    </w:txbxContent>
                  </v:textbox>
                </v:shape>
                <v:shape id="_x0000_s1026" o:spid="_x0000_s1026" o:spt="202" type="#_x0000_t202" style="position:absolute;left:5872;top:760699;height:3418;width:429;" fillcolor="#00B0F0" filled="t" stroked="f" coordsize="21600,21600" o:gfxdata="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Hbsv&#10;wAAAANwAAAAPAAAAAAAAAAEAIAAAACIAAABkcnMvZG93bnJldi54bWxQSwECFAAUAAAACACHTuJA&#10;My8FnjsAAAA5AAAAEAAAAAAAAAABACAAAAAPAQAAZHJzL3NoYXBleG1sLnhtbFBLBQYAAAAABgAG&#10;AFsBAAC5AwAAAAA=&#10;">
                  <v:fill on="t" opacity="19660f" focussize="0,0"/>
                  <v:stroke on="f" weight="1.25pt"/>
                  <v:imagedata o:title=""/>
                  <o:lock v:ext="edit" aspectratio="f"/>
                  <v:textbox>
                    <w:txbxContent>
                      <w:p/>
                    </w:txbxContent>
                  </v:textbox>
                </v:shape>
              </v:group>
            </w:pict>
          </mc:Fallback>
        </mc:AlternateContent>
      </w:r>
    </w:p>
    <w:p>
      <w:pPr>
        <w:pStyle w:val="28"/>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8"/>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8"/>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8"/>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8"/>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8"/>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8"/>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8"/>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8"/>
        <w:pageBreakBefore w:val="0"/>
        <w:kinsoku/>
        <w:wordWrap/>
        <w:overflowPunct/>
        <w:topLinePunct w:val="0"/>
        <w:bidi w:val="0"/>
        <w:spacing w:line="360" w:lineRule="auto"/>
        <w:ind w:firstLine="560"/>
        <w:rPr>
          <w:rFonts w:hint="default" w:ascii="Times New Roman" w:hAnsi="Times New Roman" w:eastAsia="宋体" w:cs="Times New Roman"/>
          <w:color w:val="auto"/>
          <w:sz w:val="28"/>
          <w:szCs w:val="28"/>
        </w:rPr>
      </w:pPr>
    </w:p>
    <w:p>
      <w:pPr>
        <w:pStyle w:val="28"/>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rPr>
      </w:pPr>
    </w:p>
    <w:p>
      <w:pPr>
        <w:pStyle w:val="26"/>
        <w:pageBreakBefore w:val="0"/>
        <w:kinsoku/>
        <w:wordWrap/>
        <w:overflowPunct/>
        <w:topLinePunct w:val="0"/>
        <w:bidi w:val="0"/>
        <w:spacing w:before="0" w:beforeLines="0" w:line="360" w:lineRule="auto"/>
        <w:rPr>
          <w:rFonts w:hint="default" w:ascii="Times New Roman" w:hAnsi="Times New Roman" w:eastAsia="宋体" w:cs="Times New Roman"/>
          <w:color w:val="auto"/>
          <w:kern w:val="0"/>
        </w:rPr>
      </w:pPr>
    </w:p>
    <w:p>
      <w:pPr>
        <w:pStyle w:val="26"/>
        <w:pageBreakBefore w:val="0"/>
        <w:kinsoku/>
        <w:wordWrap/>
        <w:overflowPunct/>
        <w:topLinePunct w:val="0"/>
        <w:bidi w:val="0"/>
        <w:spacing w:before="0" w:beforeLines="0" w:line="360" w:lineRule="auto"/>
        <w:rPr>
          <w:rFonts w:hint="default" w:ascii="Times New Roman" w:hAnsi="Times New Roman" w:eastAsia="宋体" w:cs="Times New Roman"/>
          <w:bCs/>
          <w:color w:val="auto"/>
          <w:sz w:val="28"/>
          <w:szCs w:val="28"/>
        </w:rPr>
      </w:pPr>
      <w:r>
        <w:rPr>
          <w:rFonts w:hint="default" w:ascii="Times New Roman" w:hAnsi="Times New Roman" w:eastAsia="宋体" w:cs="Times New Roman"/>
          <w:color w:val="auto"/>
          <w:kern w:val="0"/>
        </w:rPr>
        <w:t>图4.</w:t>
      </w:r>
      <w:r>
        <w:rPr>
          <w:rFonts w:hint="default" w:ascii="Times New Roman" w:hAnsi="Times New Roman" w:eastAsia="宋体" w:cs="Times New Roman"/>
          <w:color w:val="auto"/>
          <w:kern w:val="0"/>
          <w:lang w:val="en-US" w:eastAsia="zh-CN"/>
        </w:rPr>
        <w:t>2</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kern w:val="0"/>
          <w:lang w:val="en-US" w:eastAsia="zh-CN"/>
        </w:rPr>
        <w:t>4</w:t>
      </w:r>
      <w:r>
        <w:rPr>
          <w:rFonts w:hint="default" w:ascii="Times New Roman" w:hAnsi="Times New Roman" w:eastAsia="宋体" w:cs="Times New Roman"/>
          <w:color w:val="auto"/>
          <w:kern w:val="0"/>
        </w:rPr>
        <w:t xml:space="preserve">  地下水监测井结构示意图</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②</w:t>
      </w:r>
      <w:r>
        <w:rPr>
          <w:rFonts w:hint="default" w:ascii="Times New Roman" w:hAnsi="Times New Roman" w:eastAsia="宋体" w:cs="Times New Roman"/>
          <w:color w:val="auto"/>
          <w:kern w:val="0"/>
          <w:sz w:val="24"/>
          <w:lang w:eastAsia="zh-CN"/>
        </w:rPr>
        <w:t>采样</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采集地下水样品时，采用便携式设备现场测定地下水水温、pH值、电导率和氧化还原电位等。然后利用专门采样泵（贝勒管）进行采样。按照采样规范采集的样品，地下水样品采用瞬时采样法，尽量轻扰动水体。样品采集后，在保温箱冷藏保存送实验室分析。</w:t>
      </w:r>
    </w:p>
    <w:p>
      <w:pPr>
        <w:pStyle w:val="2"/>
        <w:pageBreakBefore w:val="0"/>
        <w:kinsoku/>
        <w:wordWrap/>
        <w:overflowPunct/>
        <w:topLinePunct w:val="0"/>
        <w:bidi w:val="0"/>
        <w:spacing w:line="360" w:lineRule="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eastAsia="zh-CN"/>
        </w:rPr>
        <w:t>现场照片见图</w:t>
      </w:r>
      <w:r>
        <w:rPr>
          <w:rFonts w:hint="default" w:ascii="Times New Roman" w:hAnsi="Times New Roman" w:eastAsia="宋体" w:cs="Times New Roman"/>
          <w:color w:val="auto"/>
          <w:kern w:val="0"/>
          <w:sz w:val="24"/>
          <w:lang w:val="en-US" w:eastAsia="zh-CN"/>
        </w:rPr>
        <w:t>4.2-5。</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drawing>
                <wp:inline distT="0" distB="0" distL="114300" distR="114300">
                  <wp:extent cx="2544445" cy="1908175"/>
                  <wp:effectExtent l="0" t="0" r="8255" b="15875"/>
                  <wp:docPr id="28" name="图片 28" descr="IMG_20191126_1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191126_110004"/>
                          <pic:cNvPicPr>
                            <a:picLocks noChangeAspect="1"/>
                          </pic:cNvPicPr>
                        </pic:nvPicPr>
                        <pic:blipFill>
                          <a:blip r:embed="rId63"/>
                          <a:stretch>
                            <a:fillRect/>
                          </a:stretch>
                        </pic:blipFill>
                        <pic:spPr>
                          <a:xfrm>
                            <a:off x="0" y="0"/>
                            <a:ext cx="2544445" cy="1908175"/>
                          </a:xfrm>
                          <a:prstGeom prst="rect">
                            <a:avLst/>
                          </a:prstGeom>
                        </pic:spPr>
                      </pic:pic>
                    </a:graphicData>
                  </a:graphic>
                </wp:inline>
              </w:drawing>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drawing>
                <wp:inline distT="0" distB="0" distL="114300" distR="114300">
                  <wp:extent cx="2544445" cy="1908175"/>
                  <wp:effectExtent l="0" t="0" r="8255" b="15875"/>
                  <wp:docPr id="34" name="图片 34" descr="IMG_20191127_08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191127_085303"/>
                          <pic:cNvPicPr>
                            <a:picLocks noChangeAspect="1"/>
                          </pic:cNvPicPr>
                        </pic:nvPicPr>
                        <pic:blipFill>
                          <a:blip r:embed="rId64"/>
                          <a:stretch>
                            <a:fillRect/>
                          </a:stretch>
                        </pic:blipFill>
                        <pic:spPr>
                          <a:xfrm>
                            <a:off x="0" y="0"/>
                            <a:ext cx="2544445" cy="1908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地下水井钻探</w:t>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地下水井钻探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drawing>
                <wp:inline distT="0" distB="0" distL="114300" distR="114300">
                  <wp:extent cx="2544445" cy="1908175"/>
                  <wp:effectExtent l="0" t="0" r="8255" b="15875"/>
                  <wp:docPr id="98" name="图片 98" descr="IMG_20191127_08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0191127_085646"/>
                          <pic:cNvPicPr>
                            <a:picLocks noChangeAspect="1"/>
                          </pic:cNvPicPr>
                        </pic:nvPicPr>
                        <pic:blipFill>
                          <a:blip r:embed="rId65"/>
                          <a:stretch>
                            <a:fillRect/>
                          </a:stretch>
                        </pic:blipFill>
                        <pic:spPr>
                          <a:xfrm>
                            <a:off x="0" y="0"/>
                            <a:ext cx="2544445" cy="1908175"/>
                          </a:xfrm>
                          <a:prstGeom prst="rect">
                            <a:avLst/>
                          </a:prstGeom>
                        </pic:spPr>
                      </pic:pic>
                    </a:graphicData>
                  </a:graphic>
                </wp:inline>
              </w:drawing>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drawing>
                <wp:inline distT="0" distB="0" distL="114300" distR="114300">
                  <wp:extent cx="2544445" cy="1908175"/>
                  <wp:effectExtent l="0" t="0" r="8255" b="15875"/>
                  <wp:docPr id="99" name="图片 99" descr="IMG_20191129_16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0191129_165045"/>
                          <pic:cNvPicPr>
                            <a:picLocks noChangeAspect="1"/>
                          </pic:cNvPicPr>
                        </pic:nvPicPr>
                        <pic:blipFill>
                          <a:blip r:embed="rId66"/>
                          <a:stretch>
                            <a:fillRect/>
                          </a:stretch>
                        </pic:blipFill>
                        <pic:spPr>
                          <a:xfrm rot="10800000">
                            <a:off x="0" y="0"/>
                            <a:ext cx="2544445" cy="1908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地下水井钻探</w:t>
            </w:r>
          </w:p>
        </w:tc>
        <w:tc>
          <w:tcPr>
            <w:tcW w:w="426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单个点位采集的地下水样品</w:t>
            </w:r>
          </w:p>
        </w:tc>
      </w:tr>
    </w:tbl>
    <w:p>
      <w:pPr>
        <w:pageBreakBefore w:val="0"/>
        <w:kinsoku/>
        <w:wordWrap/>
        <w:overflowPunct/>
        <w:topLinePunct w:val="0"/>
        <w:bidi w:val="0"/>
        <w:spacing w:line="360" w:lineRule="auto"/>
        <w:jc w:val="center"/>
        <w:rPr>
          <w:rFonts w:hint="default" w:ascii="Times New Roman" w:hAnsi="Times New Roman" w:eastAsia="宋体" w:cs="Times New Roman"/>
          <w:b/>
          <w:bCs/>
          <w:color w:val="auto"/>
        </w:rPr>
      </w:pPr>
      <w:bookmarkStart w:id="124" w:name="_Toc19174"/>
      <w:r>
        <w:rPr>
          <w:rFonts w:hint="default" w:ascii="Times New Roman" w:hAnsi="Times New Roman" w:eastAsia="宋体" w:cs="Times New Roman"/>
          <w:b/>
          <w:bCs/>
          <w:color w:val="auto"/>
          <w:kern w:val="0"/>
          <w:sz w:val="24"/>
          <w:lang w:eastAsia="zh-CN"/>
        </w:rPr>
        <w:t>图</w:t>
      </w:r>
      <w:r>
        <w:rPr>
          <w:rFonts w:hint="default" w:ascii="Times New Roman" w:hAnsi="Times New Roman" w:eastAsia="宋体" w:cs="Times New Roman"/>
          <w:b/>
          <w:bCs/>
          <w:color w:val="auto"/>
          <w:kern w:val="0"/>
          <w:sz w:val="24"/>
          <w:lang w:val="en-US" w:eastAsia="zh-CN"/>
        </w:rPr>
        <w:t xml:space="preserve">4.2-5  </w:t>
      </w:r>
      <w:r>
        <w:rPr>
          <w:rFonts w:hint="default" w:ascii="Times New Roman" w:hAnsi="Times New Roman" w:eastAsia="宋体" w:cs="Times New Roman"/>
          <w:b/>
          <w:bCs/>
          <w:color w:val="auto"/>
          <w:kern w:val="0"/>
          <w:sz w:val="24"/>
          <w:lang w:eastAsia="zh-CN"/>
        </w:rPr>
        <w:t>现场钻井照片</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25" w:name="_Toc2331"/>
      <w:r>
        <w:rPr>
          <w:rFonts w:hint="default" w:ascii="Times New Roman" w:hAnsi="Times New Roman" w:eastAsia="宋体" w:cs="Times New Roman"/>
          <w:color w:val="auto"/>
          <w:lang w:val="en-US" w:eastAsia="zh-CN"/>
        </w:rPr>
        <w:t>4.2.3 样品保存与流转</w:t>
      </w:r>
      <w:bookmarkEnd w:id="122"/>
      <w:bookmarkEnd w:id="123"/>
      <w:bookmarkEnd w:id="124"/>
      <w:bookmarkEnd w:id="125"/>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根据不同的污染物类型选择不同的土壤样品保存容器：检测重金属和SVOCs污染土壤的样品采用250ml棕色玻璃瓶保存，检测VOCs污染土壤的样品采用40ml棕色玻璃瓶保存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土壤样品保存容器</w:t>
      </w:r>
      <w:r>
        <w:rPr>
          <w:rFonts w:hint="default" w:ascii="Times New Roman" w:hAnsi="Times New Roman" w:eastAsia="宋体" w:cs="Times New Roman"/>
          <w:color w:val="auto"/>
          <w:sz w:val="24"/>
          <w:szCs w:val="24"/>
          <w:lang w:eastAsia="zh-CN"/>
        </w:rPr>
        <w:t>见图</w:t>
      </w:r>
      <w:r>
        <w:rPr>
          <w:rFonts w:hint="default" w:ascii="Times New Roman" w:hAnsi="Times New Roman" w:eastAsia="宋体" w:cs="Times New Roman"/>
          <w:color w:val="auto"/>
          <w:sz w:val="24"/>
          <w:szCs w:val="24"/>
          <w:lang w:val="en-US" w:eastAsia="zh-CN"/>
        </w:rPr>
        <w:t>4.2-6</w:t>
      </w:r>
      <w:r>
        <w:rPr>
          <w:rFonts w:hint="default" w:ascii="Times New Roman" w:hAnsi="Times New Roman" w:eastAsia="宋体" w:cs="Times New Roman"/>
          <w:color w:val="auto"/>
          <w:sz w:val="24"/>
          <w:szCs w:val="24"/>
        </w:rPr>
        <w:t>。样品采集与保存过程中尽量减少土壤在空气中的暴露时间，装瓶后密封。土壤样品保存方式见表4.2-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；在样品运送至实验室的过程中将样品放到装有足够蓝冰的保温箱中，以保证样品对低温的要求，直至分析实验室完成样品的交接。</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537460" cy="1908175"/>
                  <wp:effectExtent l="0" t="0" r="15240" b="15875"/>
                  <wp:docPr id="10" name="图片 22" descr="微信图片_2018112910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微信图片_20181129103917"/>
                          <pic:cNvPicPr>
                            <a:picLocks noChangeAspect="1"/>
                          </pic:cNvPicPr>
                        </pic:nvPicPr>
                        <pic:blipFill>
                          <a:blip r:embed="rId67"/>
                          <a:stretch>
                            <a:fillRect/>
                          </a:stretch>
                        </pic:blipFill>
                        <pic:spPr>
                          <a:xfrm>
                            <a:off x="0" y="0"/>
                            <a:ext cx="2537460" cy="1908175"/>
                          </a:xfrm>
                          <a:prstGeom prst="rect">
                            <a:avLst/>
                          </a:prstGeom>
                          <a:noFill/>
                          <a:ln>
                            <a:noFill/>
                          </a:ln>
                        </pic:spPr>
                      </pic:pic>
                    </a:graphicData>
                  </a:graphic>
                </wp:inline>
              </w:drawing>
            </w:r>
          </w:p>
        </w:tc>
        <w:tc>
          <w:tcPr>
            <w:tcW w:w="4261" w:type="dxa"/>
            <w:noWrap w:val="0"/>
            <w:vAlign w:val="center"/>
          </w:tcPr>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537460" cy="1908175"/>
                  <wp:effectExtent l="0" t="0" r="15240" b="15875"/>
                  <wp:docPr id="9" name="图片 23" descr="微信图片_2018112910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微信图片_20181129103922"/>
                          <pic:cNvPicPr>
                            <a:picLocks noChangeAspect="1"/>
                          </pic:cNvPicPr>
                        </pic:nvPicPr>
                        <pic:blipFill>
                          <a:blip r:embed="rId68"/>
                          <a:stretch>
                            <a:fillRect/>
                          </a:stretch>
                        </pic:blipFill>
                        <pic:spPr>
                          <a:xfrm>
                            <a:off x="0" y="0"/>
                            <a:ext cx="2537460" cy="1908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250ml棕色玻璃瓶</w:t>
            </w:r>
          </w:p>
        </w:tc>
        <w:tc>
          <w:tcPr>
            <w:tcW w:w="4261" w:type="dxa"/>
            <w:noWrap w:val="0"/>
            <w:vAlign w:val="center"/>
          </w:tcPr>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40ml棕色玻璃瓶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vertAlign w:val="baseline"/>
                <w:lang w:val="en-US" w:eastAsia="zh-CN" w:bidi="ar-SA"/>
              </w:rPr>
              <w:drawing>
                <wp:inline distT="0" distB="0" distL="114300" distR="114300">
                  <wp:extent cx="2543810" cy="1877060"/>
                  <wp:effectExtent l="0" t="0" r="8890" b="8890"/>
                  <wp:docPr id="122" name="图片 2" descr="IMG_20190424_17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descr="IMG_20190424_172139"/>
                          <pic:cNvPicPr>
                            <a:picLocks noChangeAspect="1"/>
                          </pic:cNvPicPr>
                        </pic:nvPicPr>
                        <pic:blipFill>
                          <a:blip r:embed="rId69"/>
                          <a:stretch>
                            <a:fillRect/>
                          </a:stretch>
                        </pic:blipFill>
                        <pic:spPr>
                          <a:xfrm>
                            <a:off x="0" y="0"/>
                            <a:ext cx="2543810" cy="1877060"/>
                          </a:xfrm>
                          <a:prstGeom prst="rect">
                            <a:avLst/>
                          </a:prstGeom>
                          <a:noFill/>
                          <a:ln>
                            <a:noFill/>
                          </a:ln>
                        </pic:spPr>
                      </pic:pic>
                    </a:graphicData>
                  </a:graphic>
                </wp:inline>
              </w:drawing>
            </w:r>
          </w:p>
        </w:tc>
        <w:tc>
          <w:tcPr>
            <w:tcW w:w="4261" w:type="dxa"/>
            <w:noWrap w:val="0"/>
            <w:vAlign w:val="center"/>
          </w:tcPr>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cs="Times New Roman"/>
                <w:color w:val="FF0000"/>
                <w:sz w:val="24"/>
              </w:rPr>
              <w:drawing>
                <wp:inline distT="0" distB="0" distL="114300" distR="114300">
                  <wp:extent cx="2580005" cy="1781810"/>
                  <wp:effectExtent l="9525" t="9525" r="20320" b="18415"/>
                  <wp:docPr id="121" name="图片 11"/>
                  <wp:cNvGraphicFramePr/>
                  <a:graphic xmlns:a="http://schemas.openxmlformats.org/drawingml/2006/main">
                    <a:graphicData uri="http://schemas.openxmlformats.org/drawingml/2006/picture">
                      <pic:pic xmlns:pic="http://schemas.openxmlformats.org/drawingml/2006/picture">
                        <pic:nvPicPr>
                          <pic:cNvPr id="121" name="图片 11"/>
                          <pic:cNvPicPr/>
                        </pic:nvPicPr>
                        <pic:blipFill>
                          <a:blip r:embed="rId70"/>
                          <a:srcRect/>
                          <a:stretch>
                            <a:fillRect/>
                          </a:stretch>
                        </pic:blipFill>
                        <pic:spPr>
                          <a:xfrm>
                            <a:off x="0" y="0"/>
                            <a:ext cx="2580005" cy="1781810"/>
                          </a:xfrm>
                          <a:prstGeom prst="rect">
                            <a:avLst/>
                          </a:prstGeom>
                          <a:noFill/>
                          <a:ln w="9525" cap="flat" cmpd="sng">
                            <a:solidFill>
                              <a:srgbClr val="000000"/>
                            </a:solidFill>
                            <a:prstDash val="solid"/>
                            <a:miter/>
                            <a:headEnd type="none" w="med" len="med"/>
                            <a:tailEnd type="none" w="med" len="me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蓝冰保存</w:t>
            </w:r>
          </w:p>
        </w:tc>
        <w:tc>
          <w:tcPr>
            <w:tcW w:w="4261" w:type="dxa"/>
            <w:noWrap w:val="0"/>
            <w:vAlign w:val="center"/>
          </w:tcPr>
          <w:p>
            <w:pPr>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钻探记录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left w:val="nil"/>
              <w:bottom w:val="nil"/>
              <w:right w:val="nil"/>
            </w:tcBorders>
            <w:noWrap w:val="0"/>
            <w:vAlign w:val="center"/>
          </w:tcPr>
          <w:p>
            <w:pPr>
              <w:pStyle w:val="2"/>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图4.2-</w:t>
            </w:r>
            <w:r>
              <w:rPr>
                <w:rFonts w:hint="default"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 xml:space="preserve">  土壤样品保存容器</w:t>
            </w:r>
          </w:p>
        </w:tc>
      </w:tr>
    </w:tbl>
    <w:p>
      <w:pPr>
        <w:pStyle w:val="2"/>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表4.2-</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土壤样品的保存方式及注意事项</w:t>
      </w:r>
    </w:p>
    <w:tbl>
      <w:tblPr>
        <w:tblStyle w:val="1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2"/>
        <w:gridCol w:w="1394"/>
        <w:gridCol w:w="1295"/>
        <w:gridCol w:w="3709"/>
        <w:gridCol w:w="1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序号</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检测因子</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容器</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注意事项</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eastAsiaTheme="majorEastAsia"/>
                <w:bCs/>
                <w:szCs w:val="21"/>
                <w:lang w:eastAsia="zh-CN"/>
              </w:rPr>
            </w:pPr>
            <w:r>
              <w:rPr>
                <w:rFonts w:hint="default" w:ascii="Times New Roman" w:hAnsi="Times New Roman" w:cs="Times New Roman"/>
                <w:szCs w:val="21"/>
              </w:rPr>
              <w:t>砷、镉、铅、镍、铜</w:t>
            </w:r>
            <w:r>
              <w:rPr>
                <w:rFonts w:hint="default" w:ascii="Times New Roman" w:hAnsi="Times New Roman" w:cs="Times New Roman"/>
                <w:szCs w:val="21"/>
                <w:lang w:eastAsia="zh-CN"/>
              </w:rPr>
              <w:t>、锌</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250ml广口玻璃瓶</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采集均质样品，填满瓶子消除顶空</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保温箱4℃以下6个月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2</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lang w:eastAsia="zh-CN"/>
              </w:rPr>
            </w:pPr>
            <w:r>
              <w:rPr>
                <w:rFonts w:hint="default" w:ascii="Times New Roman" w:hAnsi="Times New Roman" w:cs="Times New Roman"/>
                <w:bCs/>
                <w:szCs w:val="21"/>
              </w:rPr>
              <w:t>汞</w:t>
            </w:r>
            <w:r>
              <w:rPr>
                <w:rFonts w:hint="default" w:ascii="Times New Roman" w:hAnsi="Times New Roman" w:cs="Times New Roman"/>
                <w:bCs/>
                <w:szCs w:val="21"/>
                <w:lang w:eastAsia="zh-CN"/>
              </w:rPr>
              <w:t>、</w:t>
            </w:r>
            <w:r>
              <w:rPr>
                <w:rFonts w:hint="default" w:ascii="Times New Roman" w:hAnsi="Times New Roman" w:cs="Times New Roman"/>
                <w:szCs w:val="21"/>
              </w:rPr>
              <w:t>六价铬</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250ml广口玻璃瓶</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采集均质样品，填满瓶子消除顶空</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保温箱4℃以下28天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lang w:eastAsia="zh-CN"/>
              </w:rPr>
            </w:pPr>
            <w:r>
              <w:rPr>
                <w:rFonts w:hint="default" w:ascii="Times New Roman" w:hAnsi="Times New Roman" w:cs="Times New Roman"/>
                <w:bCs/>
                <w:szCs w:val="21"/>
                <w:lang w:val="en-US" w:eastAsia="zh-CN"/>
              </w:rPr>
              <w:t>3</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SVOCs</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250ml广口玻璃瓶</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取样前刮去表层约1cm的土层，然后装满瓶子，与瓶口形成切面，不留空气。填装过程要快，减少暴露时间。</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保温箱4℃以下10天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2"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eastAsia="宋体" w:cs="Times New Roman"/>
                <w:bCs/>
                <w:szCs w:val="21"/>
                <w:lang w:eastAsia="zh-CN"/>
              </w:rPr>
            </w:pPr>
            <w:r>
              <w:rPr>
                <w:rFonts w:hint="default" w:ascii="Times New Roman" w:hAnsi="Times New Roman" w:cs="Times New Roman"/>
                <w:bCs/>
                <w:szCs w:val="21"/>
                <w:lang w:val="en-US" w:eastAsia="zh-CN"/>
              </w:rPr>
              <w:t>4</w:t>
            </w:r>
          </w:p>
        </w:tc>
        <w:tc>
          <w:tcPr>
            <w:tcW w:w="1394"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VOCs</w:t>
            </w:r>
          </w:p>
        </w:tc>
        <w:tc>
          <w:tcPr>
            <w:tcW w:w="1295"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40ml棕色玻璃瓶</w:t>
            </w:r>
          </w:p>
        </w:tc>
        <w:tc>
          <w:tcPr>
            <w:tcW w:w="3709"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用采样器采集4-5cm</w:t>
            </w:r>
            <w:r>
              <w:rPr>
                <w:rFonts w:hint="default" w:ascii="Times New Roman" w:hAnsi="Times New Roman" w:cs="Times New Roman"/>
                <w:bCs/>
                <w:szCs w:val="21"/>
                <w:vertAlign w:val="superscript"/>
              </w:rPr>
              <w:t>3</w:t>
            </w:r>
            <w:r>
              <w:rPr>
                <w:rFonts w:hint="default" w:ascii="Times New Roman" w:hAnsi="Times New Roman" w:cs="Times New Roman"/>
                <w:bCs/>
                <w:szCs w:val="21"/>
              </w:rPr>
              <w:t>土柱装入有甲醇保护剂的40ml棕色玻璃瓶中</w:t>
            </w:r>
          </w:p>
        </w:tc>
        <w:tc>
          <w:tcPr>
            <w:tcW w:w="1428" w:type="dxa"/>
            <w:noWrap w:val="0"/>
            <w:vAlign w:val="center"/>
          </w:tcPr>
          <w:p>
            <w:pPr>
              <w:pageBreakBefore w:val="0"/>
              <w:kinsoku/>
              <w:wordWrap/>
              <w:overflowPunct/>
              <w:topLinePunct w:val="0"/>
              <w:bidi w:val="0"/>
              <w:adjustRightInd w:val="0"/>
              <w:spacing w:line="360" w:lineRule="auto"/>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保温箱4℃以下7天</w:t>
            </w:r>
          </w:p>
        </w:tc>
      </w:tr>
    </w:tbl>
    <w:p>
      <w:pPr>
        <w:pageBreakBefore w:val="0"/>
        <w:kinsoku/>
        <w:wordWrap/>
        <w:overflowPunct/>
        <w:topLinePunct w:val="0"/>
        <w:autoSpaceDE/>
        <w:autoSpaceDN/>
        <w:bidi w:val="0"/>
        <w:spacing w:line="360" w:lineRule="auto"/>
        <w:ind w:firstLine="422"/>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注：表中注意事项参照《重点行业企业用地调查样品采集保存和流转技术规定》；保存时间参考《土壤环境监测技术规范》（HJ/T166-2004)。</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26" w:name="_Toc32283"/>
      <w:bookmarkStart w:id="127" w:name="_Toc1239"/>
      <w:bookmarkStart w:id="128" w:name="_Toc16329"/>
      <w:bookmarkStart w:id="129" w:name="_Toc16015"/>
      <w:bookmarkStart w:id="130" w:name="_Toc429583671"/>
      <w:bookmarkStart w:id="131" w:name="_Toc4285"/>
      <w:bookmarkStart w:id="132" w:name="_Toc10813"/>
      <w:bookmarkStart w:id="133" w:name="_Toc22627"/>
      <w:bookmarkStart w:id="134" w:name="_Toc19978"/>
      <w:bookmarkStart w:id="135" w:name="_Toc15331"/>
      <w:bookmarkStart w:id="136" w:name="_Toc20727"/>
      <w:bookmarkStart w:id="137" w:name="_Toc4089"/>
      <w:r>
        <w:rPr>
          <w:rFonts w:hint="default" w:ascii="Times New Roman" w:hAnsi="Times New Roman" w:eastAsia="宋体" w:cs="Times New Roman"/>
          <w:color w:val="auto"/>
          <w:lang w:val="en-US" w:eastAsia="zh-CN"/>
        </w:rPr>
        <w:t>4.2.4 样品分析</w:t>
      </w:r>
      <w:bookmarkEnd w:id="126"/>
      <w:bookmarkEnd w:id="127"/>
      <w:bookmarkEnd w:id="128"/>
      <w:bookmarkEnd w:id="129"/>
      <w:bookmarkEnd w:id="130"/>
      <w:bookmarkEnd w:id="131"/>
      <w:bookmarkEnd w:id="132"/>
      <w:bookmarkEnd w:id="133"/>
      <w:bookmarkEnd w:id="134"/>
      <w:bookmarkEnd w:id="135"/>
      <w:bookmarkEnd w:id="136"/>
      <w:bookmarkEnd w:id="137"/>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本项目场地调查评价采集的所有土壤样品</w:t>
      </w:r>
      <w:r>
        <w:rPr>
          <w:rFonts w:hint="default" w:ascii="Times New Roman" w:hAnsi="Times New Roman" w:eastAsia="宋体" w:cs="Times New Roman"/>
          <w:color w:val="auto"/>
          <w:sz w:val="24"/>
          <w:szCs w:val="24"/>
          <w:lang w:eastAsia="zh-CN"/>
        </w:rPr>
        <w:t>和地下水样品</w:t>
      </w:r>
      <w:r>
        <w:rPr>
          <w:rFonts w:hint="default" w:ascii="Times New Roman" w:hAnsi="Times New Roman" w:eastAsia="宋体" w:cs="Times New Roman"/>
          <w:color w:val="auto"/>
          <w:sz w:val="24"/>
          <w:szCs w:val="24"/>
        </w:rPr>
        <w:t>全部经计量认证合格的</w:t>
      </w:r>
      <w:r>
        <w:rPr>
          <w:rFonts w:hint="default" w:ascii="Times New Roman" w:hAnsi="Times New Roman" w:eastAsia="宋体" w:cs="Times New Roman"/>
          <w:color w:val="auto"/>
          <w:sz w:val="24"/>
          <w:szCs w:val="24"/>
          <w:lang w:eastAsia="zh-CN"/>
        </w:rPr>
        <w:t>江苏实朴检测服务有限公司</w:t>
      </w:r>
      <w:r>
        <w:rPr>
          <w:rFonts w:hint="default" w:ascii="Times New Roman" w:hAnsi="Times New Roman" w:eastAsia="宋体" w:cs="Times New Roman"/>
          <w:color w:val="auto"/>
          <w:sz w:val="24"/>
          <w:szCs w:val="24"/>
        </w:rPr>
        <w:t>（CMA认证资质）进行检测分析，目前已出具了全部检测样品的检测报告。本项目土壤样品各因子检测分析方法及检出限详见表4.2-</w:t>
      </w:r>
      <w:r>
        <w:rPr>
          <w:rFonts w:hint="default" w:ascii="Times New Roman" w:hAnsi="Times New Roman" w:eastAsia="宋体" w:cs="Times New Roman"/>
          <w:color w:val="auto"/>
          <w:sz w:val="24"/>
          <w:szCs w:val="24"/>
          <w:lang w:val="en-US" w:eastAsia="zh-CN"/>
        </w:rPr>
        <w:t>3，地下水</w:t>
      </w:r>
      <w:r>
        <w:rPr>
          <w:rFonts w:hint="default" w:ascii="Times New Roman" w:hAnsi="Times New Roman" w:eastAsia="宋体" w:cs="Times New Roman"/>
          <w:color w:val="auto"/>
          <w:sz w:val="24"/>
          <w:szCs w:val="24"/>
        </w:rPr>
        <w:t>样品各因子检测分析方法及检出限详见表4.2-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要求各检测因子的检出限不得大于该因子相应的筛选值。</w:t>
      </w:r>
    </w:p>
    <w:p>
      <w:pPr>
        <w:pStyle w:val="2"/>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表4.2-</w:t>
      </w: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土壤检测项目与方法</w:t>
      </w:r>
    </w:p>
    <w:tbl>
      <w:tblPr>
        <w:tblStyle w:val="16"/>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2468"/>
        <w:gridCol w:w="1412"/>
        <w:gridCol w:w="1327"/>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1928"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2468"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检测方法</w:t>
            </w:r>
          </w:p>
        </w:tc>
        <w:tc>
          <w:tcPr>
            <w:tcW w:w="141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检测仪器</w:t>
            </w:r>
          </w:p>
        </w:tc>
        <w:tc>
          <w:tcPr>
            <w:tcW w:w="1327"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检出限</w:t>
            </w:r>
          </w:p>
        </w:tc>
        <w:tc>
          <w:tcPr>
            <w:tcW w:w="168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noWrap w:val="0"/>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pH</w:t>
            </w:r>
          </w:p>
        </w:tc>
        <w:tc>
          <w:tcPr>
            <w:tcW w:w="2468" w:type="dxa"/>
            <w:noWrap w:val="0"/>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HJ 962-2018土壤  pH值的测定 电位法</w:t>
            </w:r>
          </w:p>
        </w:tc>
        <w:tc>
          <w:tcPr>
            <w:tcW w:w="1412" w:type="dxa"/>
            <w:noWrap w:val="0"/>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pH计</w:t>
            </w:r>
          </w:p>
        </w:tc>
        <w:tc>
          <w:tcPr>
            <w:tcW w:w="1327"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8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铜</w:t>
            </w:r>
          </w:p>
        </w:tc>
        <w:tc>
          <w:tcPr>
            <w:tcW w:w="2468" w:type="dxa"/>
            <w:vMerge w:val="restart"/>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803-2016土壤和沉积物 12种金属元素的测定 王水提取-电感耦合等离子体质谱法</w:t>
            </w:r>
          </w:p>
        </w:tc>
        <w:tc>
          <w:tcPr>
            <w:tcW w:w="1412" w:type="dxa"/>
            <w:vMerge w:val="restart"/>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ICPMS</w:t>
            </w: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0.6mg/kg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803-2016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镍</w:t>
            </w:r>
          </w:p>
        </w:tc>
        <w:tc>
          <w:tcPr>
            <w:tcW w:w="2468"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412"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803-2016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锌</w:t>
            </w:r>
          </w:p>
        </w:tc>
        <w:tc>
          <w:tcPr>
            <w:tcW w:w="2468"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412"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803-2016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铅</w:t>
            </w:r>
          </w:p>
        </w:tc>
        <w:tc>
          <w:tcPr>
            <w:tcW w:w="2468"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412"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803-2016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镉</w:t>
            </w:r>
          </w:p>
        </w:tc>
        <w:tc>
          <w:tcPr>
            <w:tcW w:w="2468"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412"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0.09mg/kg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803-2016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928"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砷</w:t>
            </w:r>
          </w:p>
        </w:tc>
        <w:tc>
          <w:tcPr>
            <w:tcW w:w="2468" w:type="dxa"/>
            <w:vMerge w:val="restart"/>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680-2013土壤和沉积物 土壤和沉积物 汞、砷、硒、铋、锑的测定 微波消解/原子荧光法</w:t>
            </w:r>
          </w:p>
        </w:tc>
        <w:tc>
          <w:tcPr>
            <w:tcW w:w="1412" w:type="dxa"/>
            <w:vMerge w:val="restart"/>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原子荧光光度计</w:t>
            </w: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680-2013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汞</w:t>
            </w:r>
          </w:p>
        </w:tc>
        <w:tc>
          <w:tcPr>
            <w:tcW w:w="2468"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412" w:type="dxa"/>
            <w:vMerge w:val="continue"/>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0.002mg/kg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680-2013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六价铬</w:t>
            </w:r>
          </w:p>
        </w:tc>
        <w:tc>
          <w:tcPr>
            <w:tcW w:w="2468"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Q/JSSEP 0003S-2018 (等同采用USEPA 3060A-1996&amp; 7196A-1992)  土壤中Cr6+ 分析分光光度法</w:t>
            </w:r>
          </w:p>
        </w:tc>
        <w:tc>
          <w:tcPr>
            <w:tcW w:w="141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紫外可见分光光度计</w:t>
            </w: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0.5mg/kg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Q/JSSEP 0003S-2018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w:t>
            </w:r>
          </w:p>
        </w:tc>
        <w:tc>
          <w:tcPr>
            <w:tcW w:w="246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HJ 605-2011土壤和沉积物 挥发性有机物的测定  吹扫捕集气相色谱-质谱法</w:t>
            </w:r>
          </w:p>
        </w:tc>
        <w:tc>
          <w:tcPr>
            <w:tcW w:w="141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P&amp;T GC-MS</w:t>
            </w: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1.9μg/kg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甲苯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1.3μg/kg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乙苯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间&amp;对-二甲苯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苯乙烯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邻二甲苯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1,2-二氯丙烷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氯甲烷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氯乙烯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1,1-二氯乙烯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二氯甲烷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反-1,2-二氯乙烯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1.4μg/kg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顺-1,2-二氯乙烯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1.3μg/kg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1,1,1-三氯乙烷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1.3μg/kg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四氯化碳</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1.3μg/kg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1,2-二氯乙烷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1.3μg/kg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三氯乙烯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四氯乙烯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1.4μg/kg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1,1,2,2-四氯乙烷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1,2,3-三氯丙烷</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1,4-二氯苯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氯仿</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1.1μg/kg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2-氯酚</w:t>
            </w:r>
          </w:p>
        </w:tc>
        <w:tc>
          <w:tcPr>
            <w:tcW w:w="246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Q/JSSEP 0005S-2018-2(等同采用EPA 8270E-2017&amp;EPA3545A-2000)  半挥发性有机物的测定 气相色谱-质谱法</w:t>
            </w:r>
          </w:p>
        </w:tc>
        <w:tc>
          <w:tcPr>
            <w:tcW w:w="141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气质联用仪</w:t>
            </w: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0.06mg/kg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萘</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0.09mg/kg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苯并(a)蒽</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䓛</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苯并(b)荧蒽</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苯并(k)荧蒽</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苯并(a)芘</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二苯并(a,h)蒽</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硝基苯</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0.09mg/kg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苯胺</w:t>
            </w:r>
          </w:p>
        </w:tc>
        <w:tc>
          <w:tcPr>
            <w:tcW w:w="246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41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0.5mg/kg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Q/JSSEP 0005S-2018-2 (等同采用 EPA 8270E-2017&amp;EPA3545A-2000)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总石油烃</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ISO16703:2011土壤中石油烃类的测定</w:t>
            </w:r>
          </w:p>
        </w:tc>
        <w:tc>
          <w:tcPr>
            <w:tcW w:w="141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气相色谱（FID&amp;FID）</w:t>
            </w:r>
          </w:p>
        </w:tc>
        <w:tc>
          <w:tcPr>
            <w:tcW w:w="132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10mg/kg</w:t>
            </w:r>
          </w:p>
        </w:tc>
        <w:tc>
          <w:tcPr>
            <w:tcW w:w="168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ISO16703:2011</w:t>
            </w:r>
          </w:p>
        </w:tc>
      </w:tr>
    </w:tbl>
    <w:p>
      <w:pPr>
        <w:pStyle w:val="2"/>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val="0"/>
          <w:bCs w:val="0"/>
          <w:color w:val="auto"/>
          <w:sz w:val="24"/>
          <w:szCs w:val="24"/>
        </w:rPr>
        <w:t>注：上表所列项目检测方法优先选用《土壤环境质量 建设用地土壤污染风险管控标准（试行）》（GB36600-2018）推荐的方法，尚未发布或未指定检测方法的，选用国家或行业标准分析方法，或行业统一分析方法或行业规范</w:t>
      </w:r>
    </w:p>
    <w:p>
      <w:pPr>
        <w:pStyle w:val="2"/>
        <w:pageBreakBefore w:val="0"/>
        <w:kinsoku/>
        <w:wordWrap/>
        <w:overflowPunct/>
        <w:topLinePunct w:val="0"/>
        <w:autoSpaceDE/>
        <w:autoSpaceDN/>
        <w:bidi w:val="0"/>
        <w:spacing w:line="360" w:lineRule="auto"/>
        <w:ind w:firstLine="482" w:firstLineChars="200"/>
        <w:jc w:val="center"/>
        <w:rPr>
          <w:rFonts w:hint="default" w:ascii="Times New Roman" w:hAnsi="Times New Roman" w:eastAsia="宋体" w:cs="Times New Roman"/>
          <w:b/>
          <w:bCs w:val="0"/>
          <w:color w:val="auto"/>
          <w:kern w:val="0"/>
          <w:sz w:val="24"/>
          <w:szCs w:val="24"/>
        </w:rPr>
      </w:pPr>
    </w:p>
    <w:p>
      <w:pPr>
        <w:pStyle w:val="2"/>
        <w:pageBreakBefore w:val="0"/>
        <w:kinsoku/>
        <w:wordWrap/>
        <w:overflowPunct/>
        <w:topLinePunct w:val="0"/>
        <w:autoSpaceDE/>
        <w:autoSpaceDN/>
        <w:bidi w:val="0"/>
        <w:spacing w:line="360" w:lineRule="auto"/>
        <w:ind w:firstLine="482" w:firstLineChars="200"/>
        <w:jc w:val="center"/>
        <w:rPr>
          <w:rFonts w:hint="default" w:ascii="Times New Roman" w:hAnsi="Times New Roman" w:eastAsia="宋体" w:cs="Times New Roman"/>
          <w:b/>
          <w:bCs w:val="0"/>
          <w:color w:val="auto"/>
          <w:kern w:val="0"/>
          <w:sz w:val="24"/>
          <w:szCs w:val="24"/>
        </w:rPr>
      </w:pPr>
    </w:p>
    <w:p>
      <w:pPr>
        <w:pStyle w:val="2"/>
        <w:pageBreakBefore w:val="0"/>
        <w:kinsoku/>
        <w:wordWrap/>
        <w:overflowPunct/>
        <w:topLinePunct w:val="0"/>
        <w:autoSpaceDE/>
        <w:autoSpaceDN/>
        <w:bidi w:val="0"/>
        <w:spacing w:line="360" w:lineRule="auto"/>
        <w:ind w:firstLine="482" w:firstLineChars="200"/>
        <w:jc w:val="center"/>
        <w:rPr>
          <w:rFonts w:hint="default" w:ascii="Times New Roman" w:hAnsi="Times New Roman" w:eastAsia="宋体" w:cs="Times New Roman"/>
          <w:b/>
          <w:bCs w:val="0"/>
          <w:color w:val="auto"/>
          <w:kern w:val="0"/>
          <w:sz w:val="24"/>
          <w:szCs w:val="24"/>
        </w:rPr>
      </w:pPr>
    </w:p>
    <w:p>
      <w:pPr>
        <w:pStyle w:val="2"/>
        <w:pageBreakBefore w:val="0"/>
        <w:kinsoku/>
        <w:wordWrap/>
        <w:overflowPunct/>
        <w:topLinePunct w:val="0"/>
        <w:autoSpaceDE/>
        <w:autoSpaceDN/>
        <w:bidi w:val="0"/>
        <w:spacing w:line="360" w:lineRule="auto"/>
        <w:ind w:firstLine="482" w:firstLineChars="200"/>
        <w:jc w:val="center"/>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rPr>
        <w:t>表4</w:t>
      </w:r>
      <w:r>
        <w:rPr>
          <w:rFonts w:hint="default" w:ascii="Times New Roman" w:hAnsi="Times New Roman" w:eastAsia="宋体" w:cs="Times New Roman"/>
          <w:b/>
          <w:bCs w:val="0"/>
          <w:color w:val="auto"/>
          <w:kern w:val="0"/>
          <w:sz w:val="24"/>
          <w:szCs w:val="24"/>
          <w:lang w:val="en-US" w:eastAsia="zh-CN"/>
        </w:rPr>
        <w:t>.2-4</w:t>
      </w:r>
      <w:r>
        <w:rPr>
          <w:rFonts w:hint="default" w:ascii="Times New Roman" w:hAnsi="Times New Roman" w:eastAsia="宋体" w:cs="Times New Roman"/>
          <w:b/>
          <w:bCs w:val="0"/>
          <w:color w:val="auto"/>
          <w:kern w:val="0"/>
          <w:sz w:val="24"/>
          <w:szCs w:val="24"/>
        </w:rPr>
        <w:t xml:space="preserve">  地下水检测项目及分析方法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4290"/>
        <w:gridCol w:w="1965"/>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blHeader/>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42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检测方法</w:t>
            </w:r>
            <w:r>
              <w:rPr>
                <w:rFonts w:hint="default" w:ascii="Times New Roman" w:hAnsi="Times New Roman" w:eastAsia="宋体" w:cs="Times New Roman"/>
                <w:b/>
                <w:bCs/>
                <w:color w:val="auto"/>
                <w:sz w:val="21"/>
                <w:szCs w:val="21"/>
                <w:lang w:eastAsia="zh-CN"/>
              </w:rPr>
              <w:t>与来源</w:t>
            </w:r>
          </w:p>
        </w:tc>
        <w:tc>
          <w:tcPr>
            <w:tcW w:w="1965"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检测仪器</w:t>
            </w:r>
            <w:r>
              <w:rPr>
                <w:rFonts w:hint="default" w:ascii="Times New Roman" w:hAnsi="Times New Roman" w:eastAsia="宋体" w:cs="Times New Roman"/>
                <w:b/>
                <w:bCs/>
                <w:color w:val="auto"/>
                <w:sz w:val="21"/>
                <w:szCs w:val="21"/>
                <w:lang w:eastAsia="zh-CN"/>
              </w:rPr>
              <w:t>及编号</w:t>
            </w:r>
          </w:p>
        </w:tc>
        <w:tc>
          <w:tcPr>
            <w:tcW w:w="1177"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检出限（mg/L）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生活饮用水标准检验方法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感官性状和物理指标</w:t>
            </w:r>
          </w:p>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5750.4-2006中5.1玻璃电极法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right="0" w:firstLine="0" w:firstLineChars="0"/>
              <w:jc w:val="center"/>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pH计</w:t>
            </w:r>
          </w:p>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highlight w:val="none"/>
                <w:shd w:val="clear" w:color="auto" w:fill="auto"/>
                <w:lang w:val="en-US" w:eastAsia="zh-CN"/>
              </w:rPr>
              <w:t xml:space="preserve">PHS-3C </w:t>
            </w:r>
            <w:r>
              <w:rPr>
                <w:rFonts w:hint="default" w:ascii="Times New Roman" w:hAnsi="Times New Roman" w:eastAsia="宋体" w:cs="Times New Roman"/>
                <w:b w:val="0"/>
                <w:bCs w:val="0"/>
                <w:color w:val="auto"/>
                <w:sz w:val="21"/>
                <w:szCs w:val="21"/>
                <w:highlight w:val="none"/>
                <w:shd w:val="clear" w:color="auto" w:fill="auto"/>
              </w:rPr>
              <w:t xml:space="preserve"> YQ-A-</w:t>
            </w:r>
            <w:r>
              <w:rPr>
                <w:rFonts w:hint="default" w:ascii="Times New Roman" w:hAnsi="Times New Roman" w:eastAsia="宋体" w:cs="Times New Roman"/>
                <w:b w:val="0"/>
                <w:bCs w:val="0"/>
                <w:color w:val="auto"/>
                <w:sz w:val="21"/>
                <w:szCs w:val="21"/>
                <w:highlight w:val="none"/>
                <w:shd w:val="clear" w:color="auto" w:fill="auto"/>
                <w:lang w:val="en-US" w:eastAsia="zh-CN"/>
              </w:rPr>
              <w:t>06</w:t>
            </w:r>
          </w:p>
        </w:tc>
        <w:tc>
          <w:tcPr>
            <w:tcW w:w="1177"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总硬度</w:t>
            </w:r>
          </w:p>
        </w:tc>
        <w:tc>
          <w:tcPr>
            <w:tcW w:w="4290" w:type="dxa"/>
            <w:noWrap w:val="0"/>
            <w:vAlign w:val="center"/>
          </w:tcPr>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生活饮用水标准检验方法 感官性状和物理指标</w:t>
            </w:r>
          </w:p>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GB/T 5750.4-2006中7.1乙二胺四乙酸二钠滴定法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溶解性总固体</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生活饮用水标准检验方法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感官性状和物理指标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GB/T 5750.4-2006中8.1称量法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eastAsia="zh-CN"/>
              </w:rPr>
              <w:t>电子</w:t>
            </w:r>
            <w:r>
              <w:rPr>
                <w:rFonts w:hint="default" w:ascii="Times New Roman" w:hAnsi="Times New Roman" w:eastAsia="宋体" w:cs="Times New Roman"/>
                <w:color w:val="auto"/>
                <w:sz w:val="21"/>
                <w:szCs w:val="21"/>
              </w:rPr>
              <w:t>天平 FA2204B  YQ-A-02</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硫酸盐</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无机阴离子的测定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离子色谱法 HJ 84-2016</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离子色谱仪</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PIC-10型 YQ-A-23</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0.018mg/L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氯化物</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水质 无机阴离子的测定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离子色谱法 HJ 84-2016</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离子色谱仪</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PIC-10型 YQ-A-23</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0.007mg/L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铁</w:t>
            </w:r>
          </w:p>
        </w:tc>
        <w:tc>
          <w:tcPr>
            <w:tcW w:w="4290" w:type="dxa"/>
            <w:noWrap w:val="0"/>
            <w:vAlign w:val="center"/>
          </w:tcPr>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水质 铁、锰的测定</w:t>
            </w:r>
          </w:p>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火焰原子吸收分光光度法GB/T 11911-1989</w:t>
            </w:r>
          </w:p>
        </w:tc>
        <w:tc>
          <w:tcPr>
            <w:tcW w:w="1965" w:type="dxa"/>
            <w:noWrap w:val="0"/>
            <w:vAlign w:val="center"/>
          </w:tcPr>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原子吸收分光光度计</w:t>
            </w:r>
          </w:p>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WYS2200  YQ-A-48</w:t>
            </w:r>
          </w:p>
        </w:tc>
        <w:tc>
          <w:tcPr>
            <w:tcW w:w="1177" w:type="dxa"/>
            <w:noWrap w:val="0"/>
            <w:vAlign w:val="center"/>
          </w:tcPr>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锰</w:t>
            </w:r>
          </w:p>
        </w:tc>
        <w:tc>
          <w:tcPr>
            <w:tcW w:w="4290" w:type="dxa"/>
            <w:noWrap w:val="0"/>
            <w:vAlign w:val="center"/>
          </w:tcPr>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水质 铁、锰的测定</w:t>
            </w:r>
          </w:p>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火焰原子吸收分光光度法GB/T 11911-1989</w:t>
            </w:r>
          </w:p>
        </w:tc>
        <w:tc>
          <w:tcPr>
            <w:tcW w:w="1965" w:type="dxa"/>
            <w:noWrap w:val="0"/>
            <w:vAlign w:val="center"/>
          </w:tcPr>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原子吸收分光光度计</w:t>
            </w:r>
          </w:p>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WYS2200  YQ-A-48</w:t>
            </w:r>
          </w:p>
        </w:tc>
        <w:tc>
          <w:tcPr>
            <w:tcW w:w="1177" w:type="dxa"/>
            <w:noWrap w:val="0"/>
            <w:vAlign w:val="center"/>
          </w:tcPr>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锌</w:t>
            </w:r>
          </w:p>
        </w:tc>
        <w:tc>
          <w:tcPr>
            <w:tcW w:w="4290" w:type="dxa"/>
            <w:noWrap w:val="0"/>
            <w:vAlign w:val="center"/>
          </w:tcPr>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水质 铜、锌、铅、镉的测定</w:t>
            </w:r>
          </w:p>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原子吸收分光光度法GB/T 7475-1987第一部分直接法</w:t>
            </w:r>
          </w:p>
        </w:tc>
        <w:tc>
          <w:tcPr>
            <w:tcW w:w="1965" w:type="dxa"/>
            <w:noWrap w:val="0"/>
            <w:vAlign w:val="center"/>
          </w:tcPr>
          <w:p>
            <w:pPr>
              <w:keepNext w:val="0"/>
              <w:keepLines w:val="0"/>
              <w:pageBreakBefore w:val="0"/>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原子吸收分光光度计WYS2200  YQ-A-48</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挥发酚</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水质 挥发酚的测定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4-氨基安替比林分光光度法HJ 503-2009</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方法1萃取分光光度法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2"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可见分光光度计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2N  YQ-A-</w:t>
            </w:r>
            <w:r>
              <w:rPr>
                <w:rFonts w:hint="default" w:ascii="Times New Roman" w:hAnsi="Times New Roman" w:eastAsia="宋体" w:cs="Times New Roman"/>
                <w:color w:val="auto"/>
                <w:sz w:val="21"/>
                <w:szCs w:val="21"/>
                <w:lang w:val="en-US" w:eastAsia="zh-CN"/>
              </w:rPr>
              <w:t>21</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0.00</w:t>
            </w:r>
            <w:r>
              <w:rPr>
                <w:rFonts w:hint="default" w:ascii="Times New Roman" w:hAnsi="Times New Roman" w:eastAsia="宋体" w:cs="Times New Roman"/>
                <w:color w:val="auto"/>
                <w:sz w:val="21"/>
                <w:szCs w:val="21"/>
                <w:lang w:val="en-US" w:eastAsia="zh-CN"/>
              </w:rPr>
              <w:t>03</w:t>
            </w:r>
            <w:r>
              <w:rPr>
                <w:rFonts w:hint="default" w:ascii="Times New Roman" w:hAnsi="Times New Roman" w:eastAsia="宋体" w:cs="Times New Roman"/>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耗氧量</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生活饮用水标准检验方法 有机物综合指标</w:t>
            </w:r>
            <w:r>
              <w:rPr>
                <w:rFonts w:hint="default" w:ascii="Times New Roman" w:hAnsi="Times New Roman" w:eastAsia="宋体" w:cs="Times New Roman"/>
                <w:color w:val="auto"/>
                <w:sz w:val="21"/>
                <w:szCs w:val="21"/>
                <w:lang w:val="en-US" w:eastAsia="zh-CN"/>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GB/T 5750.7-2006中1.1酸性高锰酸钾滴定法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氨氮</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生活饮用水标准检验方法 无机非金属指标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GB/T 5750.5-2006中9.1纳氏试剂分光光度法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2"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可见分光光度计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2"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2N  YQ-A-</w:t>
            </w:r>
            <w:r>
              <w:rPr>
                <w:rFonts w:hint="default" w:ascii="Times New Roman" w:hAnsi="Times New Roman" w:eastAsia="宋体" w:cs="Times New Roman"/>
                <w:color w:val="auto"/>
                <w:sz w:val="21"/>
                <w:szCs w:val="21"/>
                <w:lang w:val="en-US" w:eastAsia="zh-CN"/>
              </w:rPr>
              <w:t>21</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亚硝酸盐</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生活饮用水标准检验方法 无机非金属指标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GB/T 5750.5-2006中10.1重氮偶合分光光度法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2"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可见分光光度计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2N  YQ-A-</w:t>
            </w:r>
            <w:r>
              <w:rPr>
                <w:rFonts w:hint="default" w:ascii="Times New Roman" w:hAnsi="Times New Roman" w:eastAsia="宋体" w:cs="Times New Roman"/>
                <w:color w:val="auto"/>
                <w:sz w:val="21"/>
                <w:szCs w:val="21"/>
                <w:lang w:val="en-US" w:eastAsia="zh-CN"/>
              </w:rPr>
              <w:t>21</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0.001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硝酸盐</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生活饮用水标准检验方法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无机非金属指标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GB/T 5750.5-2006中5.2紫外分光光度法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紫外可见分光光度计  SP-1920UV  YQ-A-43</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氰化物</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生活饮用水标准检验方法 无机非金属指标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GB/T 5750.5 -2006 中4.2异烟酸-巴比妥酸分光光度法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可见分光光度计  722N</w:t>
            </w:r>
            <w:r>
              <w:rPr>
                <w:rFonts w:hint="default" w:ascii="Times New Roman" w:hAnsi="Times New Roman" w:eastAsia="宋体" w:cs="Times New Roman"/>
                <w:color w:val="auto"/>
                <w:sz w:val="21"/>
                <w:szCs w:val="21"/>
                <w:lang w:val="en-US" w:eastAsia="zh-CN"/>
              </w:rPr>
              <w:t xml:space="preserve">  YQ-A-21</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汞</w:t>
            </w:r>
          </w:p>
        </w:tc>
        <w:tc>
          <w:tcPr>
            <w:tcW w:w="42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水质 汞、砷、硒、铋和锑的测定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原子荧光法HJ 694-2014</w:t>
            </w:r>
          </w:p>
        </w:tc>
        <w:tc>
          <w:tcPr>
            <w:tcW w:w="19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双道原子荧光光度计AFS-2202E YQ-A-26</w:t>
            </w:r>
          </w:p>
        </w:tc>
        <w:tc>
          <w:tcPr>
            <w:tcW w:w="11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0.04μg/L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砷</w:t>
            </w:r>
          </w:p>
        </w:tc>
        <w:tc>
          <w:tcPr>
            <w:tcW w:w="42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水质 汞、砷、硒、铋和锑的测定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原子荧光法HJ 694-2014</w:t>
            </w:r>
          </w:p>
        </w:tc>
        <w:tc>
          <w:tcPr>
            <w:tcW w:w="19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双道原子荧光光度计AFS-2202E YQ-A-26</w:t>
            </w:r>
          </w:p>
        </w:tc>
        <w:tc>
          <w:tcPr>
            <w:tcW w:w="11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0.3μg/L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镉</w:t>
            </w:r>
          </w:p>
        </w:tc>
        <w:tc>
          <w:tcPr>
            <w:tcW w:w="42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生活饮用水检验标准方法 金属指标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GB/T 5750.6-2006中9.1无火焰原子吸收分光光度法</w:t>
            </w:r>
          </w:p>
        </w:tc>
        <w:tc>
          <w:tcPr>
            <w:tcW w:w="19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原子吸收分光光度计TAS-990AFG YQ-A-130</w:t>
            </w:r>
          </w:p>
        </w:tc>
        <w:tc>
          <w:tcPr>
            <w:tcW w:w="11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0.5μg/L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六价铬</w:t>
            </w:r>
          </w:p>
        </w:tc>
        <w:tc>
          <w:tcPr>
            <w:tcW w:w="42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生活饮用水标准检验方法 金属指标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GB/T 5750.6-2006中10.1二苯碳酰二肼分光光度法</w:t>
            </w:r>
          </w:p>
        </w:tc>
        <w:tc>
          <w:tcPr>
            <w:tcW w:w="19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可见分光光度计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722N  YQ-A-21</w:t>
            </w:r>
          </w:p>
        </w:tc>
        <w:tc>
          <w:tcPr>
            <w:tcW w:w="11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铅</w:t>
            </w:r>
          </w:p>
        </w:tc>
        <w:tc>
          <w:tcPr>
            <w:tcW w:w="42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生活饮用水检验标准方法 金属指标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GB/T 5750.6-2006中11.1无火焰原子吸收分光光度法</w:t>
            </w:r>
          </w:p>
        </w:tc>
        <w:tc>
          <w:tcPr>
            <w:tcW w:w="19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原子吸收分光光度计TAS-990AFG YQ-A-130</w:t>
            </w:r>
          </w:p>
        </w:tc>
        <w:tc>
          <w:tcPr>
            <w:tcW w:w="11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2.5 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氟化物</w:t>
            </w:r>
          </w:p>
        </w:tc>
        <w:tc>
          <w:tcPr>
            <w:tcW w:w="429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生活饮用水标准检验方法 无机非金属指标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GB/T 5750.5 -2006中3.1离子选择电极法</w:t>
            </w:r>
          </w:p>
        </w:tc>
        <w:tc>
          <w:tcPr>
            <w:tcW w:w="196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2" w:leftChars="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离子计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2"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PXSJ-216  YQ-A-41</w:t>
            </w:r>
          </w:p>
        </w:tc>
        <w:tc>
          <w:tcPr>
            <w:tcW w:w="117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0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石油类</w:t>
            </w:r>
          </w:p>
        </w:tc>
        <w:tc>
          <w:tcPr>
            <w:tcW w:w="42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水质石油类的测定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紫外分光光度法（试行）HJ 970-2018</w:t>
            </w:r>
          </w:p>
        </w:tc>
        <w:tc>
          <w:tcPr>
            <w:tcW w:w="19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 xml:space="preserve">紫外可见分光光度计 752N  </w:t>
            </w:r>
            <w:r>
              <w:rPr>
                <w:rFonts w:hint="default" w:ascii="Times New Roman" w:hAnsi="Times New Roman" w:eastAsia="宋体" w:cs="Times New Roman"/>
                <w:color w:val="auto"/>
                <w:sz w:val="21"/>
                <w:szCs w:val="21"/>
              </w:rPr>
              <w:t>YQ-A-</w:t>
            </w:r>
            <w:r>
              <w:rPr>
                <w:rFonts w:hint="default" w:ascii="Times New Roman" w:hAnsi="Times New Roman" w:eastAsia="宋体" w:cs="Times New Roman"/>
                <w:color w:val="auto"/>
                <w:sz w:val="21"/>
                <w:szCs w:val="21"/>
                <w:lang w:val="en-US" w:eastAsia="zh-CN"/>
              </w:rPr>
              <w:t>04</w:t>
            </w:r>
          </w:p>
        </w:tc>
        <w:tc>
          <w:tcPr>
            <w:tcW w:w="11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0.01mg/L</w:t>
            </w:r>
          </w:p>
        </w:tc>
      </w:tr>
    </w:tbl>
    <w:p>
      <w:pPr>
        <w:pageBreakBefore w:val="0"/>
        <w:kinsoku/>
        <w:wordWrap/>
        <w:overflowPunct/>
        <w:topLinePunct w:val="0"/>
        <w:bidi w:val="0"/>
        <w:adjustRightInd w:val="0"/>
        <w:snapToGrid w:val="0"/>
        <w:spacing w:line="360" w:lineRule="auto"/>
        <w:ind w:firstLine="0" w:firstLineChars="0"/>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24"/>
          <w:szCs w:val="24"/>
        </w:rPr>
        <w:t>注：各因子检测方法的检出限均不大于本项目选定该因子的筛选值</w:t>
      </w:r>
      <w:r>
        <w:rPr>
          <w:rFonts w:hint="default" w:ascii="Times New Roman" w:hAnsi="Times New Roman" w:eastAsia="宋体" w:cs="Times New Roman"/>
          <w:b/>
          <w:bCs/>
          <w:color w:val="auto"/>
          <w:kern w:val="0"/>
          <w:sz w:val="18"/>
          <w:szCs w:val="18"/>
        </w:rPr>
        <w:t>。</w:t>
      </w:r>
    </w:p>
    <w:p>
      <w:pP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br w:type="page"/>
      </w:r>
    </w:p>
    <w:p>
      <w:pPr>
        <w:pStyle w:val="4"/>
        <w:bidi w:val="0"/>
        <w:rPr>
          <w:rFonts w:hint="default" w:ascii="Times New Roman" w:hAnsi="Times New Roman" w:cs="Times New Roman"/>
        </w:rPr>
      </w:pPr>
      <w:bookmarkStart w:id="138" w:name="_Toc20260"/>
      <w:bookmarkStart w:id="139" w:name="_Toc2363"/>
      <w:bookmarkStart w:id="140" w:name="_Toc4657"/>
      <w:bookmarkStart w:id="141" w:name="_Toc4477"/>
      <w:bookmarkStart w:id="142" w:name="_Toc2603"/>
      <w:bookmarkStart w:id="143" w:name="_Toc421173776"/>
      <w:bookmarkStart w:id="144" w:name="_Toc28144"/>
      <w:bookmarkStart w:id="145" w:name="_Toc16605"/>
      <w:bookmarkStart w:id="146" w:name="_Toc25212"/>
      <w:bookmarkStart w:id="147" w:name="_Toc21231"/>
      <w:bookmarkStart w:id="148" w:name="_Toc18150"/>
      <w:r>
        <w:rPr>
          <w:rFonts w:hint="default" w:ascii="Times New Roman" w:hAnsi="Times New Roman" w:cs="Times New Roman"/>
          <w:lang w:val="en-US" w:eastAsia="zh-CN"/>
        </w:rPr>
        <w:t>5 质量保证与质量控制（QA/QC）</w:t>
      </w:r>
      <w:bookmarkEnd w:id="138"/>
      <w:bookmarkEnd w:id="139"/>
      <w:bookmarkEnd w:id="140"/>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质量保证和质量控制的目的是为了保证所产生的土壤环境质量监测资料具有代表性、准确性、精密性、可比性和完整性。质量控制涉及监测的全部过程。</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149" w:name="_Toc15420_WPSOffice_Level2"/>
      <w:bookmarkStart w:id="150" w:name="_Toc12942"/>
      <w:bookmarkStart w:id="151" w:name="_Toc9046"/>
      <w:bookmarkStart w:id="152" w:name="_Toc23960"/>
      <w:bookmarkStart w:id="153" w:name="_Toc25959"/>
      <w:bookmarkStart w:id="154" w:name="_Toc13412"/>
      <w:bookmarkStart w:id="155" w:name="_Toc23938"/>
      <w:r>
        <w:rPr>
          <w:rFonts w:hint="default" w:ascii="Times New Roman" w:hAnsi="Times New Roman" w:eastAsia="宋体" w:cs="Times New Roman"/>
          <w:color w:val="auto"/>
          <w:sz w:val="28"/>
          <w:szCs w:val="28"/>
          <w:lang w:val="en-US" w:eastAsia="zh-CN"/>
        </w:rPr>
        <w:t>5.1 质量</w:t>
      </w:r>
      <w:bookmarkEnd w:id="149"/>
      <w:bookmarkEnd w:id="150"/>
      <w:r>
        <w:rPr>
          <w:rFonts w:hint="default" w:ascii="Times New Roman" w:hAnsi="Times New Roman" w:eastAsia="宋体" w:cs="Times New Roman"/>
          <w:color w:val="auto"/>
          <w:sz w:val="28"/>
          <w:szCs w:val="28"/>
          <w:lang w:val="en-US" w:eastAsia="zh-CN"/>
        </w:rPr>
        <w:t>保证</w:t>
      </w:r>
      <w:bookmarkEnd w:id="151"/>
      <w:bookmarkEnd w:id="152"/>
      <w:bookmarkEnd w:id="153"/>
      <w:bookmarkEnd w:id="154"/>
      <w:bookmarkEnd w:id="155"/>
    </w:p>
    <w:p>
      <w:pPr>
        <w:pageBreakBefore w:val="0"/>
        <w:widowControl w:val="0"/>
        <w:kinsoku/>
        <w:wordWrap/>
        <w:overflowPunct/>
        <w:topLinePunct w:val="0"/>
        <w:bidi w:val="0"/>
        <w:adjustRightInd/>
        <w:snapToGrid/>
        <w:spacing w:line="360" w:lineRule="auto"/>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本项目质量保证过程主要是严格按照相应的技术规范对样品进行采集、保存、运输、交接等，避免采样设备及外部环境条件等因素对样品产生影响。</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56" w:name="_Toc28192_WPSOffice_Level3"/>
      <w:bookmarkStart w:id="157" w:name="_Toc21674"/>
      <w:bookmarkStart w:id="158" w:name="_Toc18885"/>
      <w:bookmarkStart w:id="159" w:name="_Toc27257"/>
      <w:bookmarkStart w:id="160" w:name="_Toc20274"/>
      <w:bookmarkStart w:id="161" w:name="_Toc15770"/>
      <w:bookmarkStart w:id="162" w:name="_Toc7522"/>
      <w:bookmarkStart w:id="163" w:name="_Toc600"/>
      <w:r>
        <w:rPr>
          <w:rFonts w:hint="default" w:ascii="Times New Roman" w:hAnsi="Times New Roman" w:eastAsia="宋体" w:cs="Times New Roman"/>
          <w:color w:val="auto"/>
          <w:lang w:val="en-US" w:eastAsia="zh-CN"/>
        </w:rPr>
        <w:t>5.1.1 采样现场质量保证</w:t>
      </w:r>
      <w:bookmarkEnd w:id="156"/>
      <w:bookmarkEnd w:id="157"/>
      <w:bookmarkEnd w:id="158"/>
      <w:bookmarkEnd w:id="159"/>
      <w:bookmarkEnd w:id="160"/>
      <w:bookmarkEnd w:id="161"/>
      <w:bookmarkEnd w:id="162"/>
      <w:bookmarkEnd w:id="163"/>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①按照《土壤环境监测技术规范》（HJ/T 166-2004）、《场地环境调查技术规范》（HJ 25.1-2014）和《工业企业场地环境调查评估与修复工作指南（试行）》中的规范要求进行样品采集和保存。并按规定进行样品制备，采集和制备样品所用的器具均不会对分析样品造成污染。</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②现场采样记录、现场监测记录可使用表格描述土壤特征、可疑物质或异常现象等，同时应保留现场相关影像记录，其内容、页码、编号要齐全便于核查，如有改动应注明修改人及时间。</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现场应防止采样过程中的交叉污染。钻探采样过程中，在第一个钻孔开钻前要进行设备清洗；进行连续多次钻孔的钻探设备应进行清洗；同一钻机在不同深度采样时，应对钻探设备、取样装置进行清洗；与土壤接触的其他采样工具重复利用时也应清洗。一般情况下可用清水清理，也可用待采土样或清洁土壤进行清洗；必要时或特殊情况下，可采用无磷去垢剂溶液、高压自来水、去离子水（蒸馏水）或10%硝酸进行清洗。本项目采用高压自来水和洁净的土壤进行清洗。</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④用于检测VOCs的士壤样品应单独采集，不允许对样品进行均质化处理，也不得采集混合样。</w:t>
      </w:r>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⑤如直接从原状取士器中采集士壤样品，应刮除原状取土器中土芯表面约2cm的土壤，在新露出的土芯表面采集样品；如原状取土器中的土芯已经转移至垫层，应尽快采集土芯中的非扰动部分。</w:t>
      </w:r>
      <w:bookmarkStart w:id="164" w:name="_Toc16270"/>
      <w:bookmarkStart w:id="165" w:name="_Toc26019"/>
      <w:bookmarkStart w:id="166" w:name="_Toc22199"/>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67" w:name="_Toc30243"/>
      <w:bookmarkStart w:id="168" w:name="_Toc7524"/>
      <w:bookmarkStart w:id="169" w:name="_Toc18793"/>
      <w:r>
        <w:rPr>
          <w:rFonts w:hint="default" w:ascii="Times New Roman" w:hAnsi="Times New Roman" w:eastAsia="宋体" w:cs="Times New Roman"/>
          <w:color w:val="auto"/>
          <w:lang w:val="en-US" w:eastAsia="zh-CN"/>
        </w:rPr>
        <w:t>5.1.2 样品保存及流转质量保证</w:t>
      </w:r>
      <w:bookmarkEnd w:id="164"/>
      <w:bookmarkEnd w:id="165"/>
      <w:bookmarkEnd w:id="166"/>
      <w:bookmarkEnd w:id="167"/>
      <w:bookmarkEnd w:id="168"/>
      <w:bookmarkEnd w:id="169"/>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①现场采集的样品在放入保温箱进行包装前，应对每个样品瓶上的采样编号、采样日期、采样地点等相关信息进行核对，并登记造册，同时应确保样品的密封性和包装的完整性。</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②装有土壤样品的样品瓶均应单独密封在自封袋中，避免交叉污染。</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③核对后的样品应立即放入车载冰箱中，且确保车载冰箱内部温度不高于4℃，直至样品安全抵达分析实验室。</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2"/>
          <w:sz w:val="24"/>
          <w:szCs w:val="24"/>
          <w:vertAlign w:val="baseline"/>
          <w:lang w:val="en-US" w:eastAsia="zh-CN" w:bidi="ar-SA"/>
        </w:rPr>
        <w:drawing>
          <wp:anchor distT="0" distB="0" distL="114300" distR="114300" simplePos="0" relativeHeight="523613184" behindDoc="0" locked="0" layoutInCell="1" allowOverlap="1">
            <wp:simplePos x="0" y="0"/>
            <wp:positionH relativeFrom="column">
              <wp:posOffset>182245</wp:posOffset>
            </wp:positionH>
            <wp:positionV relativeFrom="paragraph">
              <wp:posOffset>43815</wp:posOffset>
            </wp:positionV>
            <wp:extent cx="4911725" cy="3623310"/>
            <wp:effectExtent l="0" t="0" r="3175" b="15240"/>
            <wp:wrapNone/>
            <wp:docPr id="11" name="图片 2" descr="IMG_20190424_17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0190424_172139"/>
                    <pic:cNvPicPr>
                      <a:picLocks noChangeAspect="1"/>
                    </pic:cNvPicPr>
                  </pic:nvPicPr>
                  <pic:blipFill>
                    <a:blip r:embed="rId69"/>
                    <a:stretch>
                      <a:fillRect/>
                    </a:stretch>
                  </pic:blipFill>
                  <pic:spPr>
                    <a:xfrm>
                      <a:off x="0" y="0"/>
                      <a:ext cx="4911725" cy="3623310"/>
                    </a:xfrm>
                    <a:prstGeom prst="rect">
                      <a:avLst/>
                    </a:prstGeom>
                    <a:noFill/>
                    <a:ln>
                      <a:noFill/>
                    </a:ln>
                  </pic:spPr>
                </pic:pic>
              </a:graphicData>
            </a:graphic>
          </wp:anchor>
        </w:drawing>
      </w:r>
    </w:p>
    <w:p>
      <w:pPr>
        <w:pStyle w:val="2"/>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rPr>
          <w:rFonts w:hint="default" w:ascii="Times New Roman" w:hAnsi="Times New Roman" w:eastAsia="宋体" w:cs="Times New Roman"/>
          <w:color w:val="auto"/>
        </w:rPr>
      </w:pPr>
    </w:p>
    <w:p>
      <w:pPr>
        <w:pageBreakBefore w:val="0"/>
        <w:kinsoku/>
        <w:wordWrap/>
        <w:overflowPunct/>
        <w:topLinePunct w:val="0"/>
        <w:bidi w:val="0"/>
        <w:spacing w:line="360" w:lineRule="auto"/>
        <w:ind w:firstLine="2409" w:firstLineChars="1000"/>
        <w:rPr>
          <w:rFonts w:hint="default" w:ascii="Times New Roman" w:hAnsi="Times New Roman" w:eastAsia="宋体" w:cs="Times New Roman"/>
          <w:b/>
          <w:bCs/>
          <w:color w:val="auto"/>
          <w:kern w:val="2"/>
        </w:rPr>
      </w:pPr>
    </w:p>
    <w:p>
      <w:pPr>
        <w:pageBreakBefore w:val="0"/>
        <w:kinsoku/>
        <w:wordWrap/>
        <w:overflowPunct/>
        <w:topLinePunct w:val="0"/>
        <w:bidi w:val="0"/>
        <w:spacing w:line="360" w:lineRule="auto"/>
        <w:ind w:firstLine="2409" w:firstLineChars="1000"/>
        <w:rPr>
          <w:rFonts w:hint="default" w:ascii="Times New Roman" w:hAnsi="Times New Roman" w:eastAsia="宋体" w:cs="Times New Roman"/>
          <w:color w:val="auto"/>
        </w:rPr>
      </w:pPr>
      <w:r>
        <w:rPr>
          <w:rFonts w:hint="default" w:ascii="Times New Roman" w:hAnsi="Times New Roman" w:eastAsia="宋体" w:cs="Times New Roman"/>
          <w:b/>
          <w:bCs/>
          <w:color w:val="auto"/>
          <w:kern w:val="2"/>
        </w:rPr>
        <w:t>图5.1-</w:t>
      </w:r>
      <w:r>
        <w:rPr>
          <w:rFonts w:hint="default" w:ascii="Times New Roman" w:hAnsi="Times New Roman" w:eastAsia="宋体" w:cs="Times New Roman"/>
          <w:b/>
          <w:bCs/>
          <w:color w:val="auto"/>
          <w:kern w:val="2"/>
          <w:lang w:val="en-US" w:eastAsia="zh-CN"/>
        </w:rPr>
        <w:t xml:space="preserve">1  </w:t>
      </w:r>
      <w:r>
        <w:rPr>
          <w:rFonts w:hint="default" w:ascii="Times New Roman" w:hAnsi="Times New Roman" w:eastAsia="宋体" w:cs="Times New Roman"/>
          <w:b/>
          <w:bCs/>
          <w:color w:val="auto"/>
          <w:kern w:val="2"/>
        </w:rPr>
        <w:t>土壤样品避光冷藏保存</w:t>
      </w:r>
    </w:p>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表5.1-1  样品采集、流转、检测情况一览表</w:t>
      </w:r>
    </w:p>
    <w:tbl>
      <w:tblPr>
        <w:tblStyle w:val="17"/>
        <w:tblW w:w="10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881"/>
        <w:gridCol w:w="1254"/>
        <w:gridCol w:w="1258"/>
        <w:gridCol w:w="1333"/>
        <w:gridCol w:w="1292"/>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2" w:firstLineChars="200"/>
              <w:jc w:val="both"/>
              <w:textAlignment w:val="auto"/>
              <w:rPr>
                <w:rFonts w:hint="default" w:ascii="Times New Roman" w:hAnsi="Times New Roman" w:eastAsia="宋体" w:cs="Times New Roman"/>
                <w:b/>
                <w:bCs/>
                <w:color w:val="auto"/>
                <w:sz w:val="21"/>
                <w:szCs w:val="21"/>
                <w:highlight w:val="none"/>
                <w:vertAlign w:val="baseline"/>
                <w:lang w:val="en-US" w:eastAsia="zh-CN"/>
              </w:rPr>
            </w:pPr>
            <w:bookmarkStart w:id="325" w:name="_GoBack" w:colFirst="0" w:colLast="6"/>
          </w:p>
        </w:tc>
        <w:tc>
          <w:tcPr>
            <w:tcW w:w="188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2" w:firstLineChars="200"/>
              <w:jc w:val="both"/>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检测因子</w:t>
            </w:r>
          </w:p>
        </w:tc>
        <w:tc>
          <w:tcPr>
            <w:tcW w:w="125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时间</w:t>
            </w:r>
          </w:p>
        </w:tc>
        <w:tc>
          <w:tcPr>
            <w:tcW w:w="1258"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送样</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时间</w:t>
            </w:r>
          </w:p>
        </w:tc>
        <w:tc>
          <w:tcPr>
            <w:tcW w:w="1333"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时间</w:t>
            </w:r>
          </w:p>
        </w:tc>
        <w:tc>
          <w:tcPr>
            <w:tcW w:w="129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1" w:firstLineChars="100"/>
              <w:jc w:val="both"/>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检测单位</w:t>
            </w:r>
          </w:p>
        </w:tc>
        <w:tc>
          <w:tcPr>
            <w:tcW w:w="1799"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报告编号</w:t>
            </w:r>
          </w:p>
        </w:tc>
      </w:tr>
      <w:bookmarkEnd w:id="32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土壤</w:t>
            </w:r>
          </w:p>
        </w:tc>
        <w:tc>
          <w:tcPr>
            <w:tcW w:w="188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pH、重金属、VOCs、SVOCs、TPH、锌</w:t>
            </w:r>
          </w:p>
        </w:tc>
        <w:tc>
          <w:tcPr>
            <w:tcW w:w="125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2019.11.12</w:t>
            </w:r>
          </w:p>
        </w:tc>
        <w:tc>
          <w:tcPr>
            <w:tcW w:w="1258"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2019.11.14</w:t>
            </w:r>
          </w:p>
        </w:tc>
        <w:tc>
          <w:tcPr>
            <w:tcW w:w="1333"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2019.11.19-201911.25</w:t>
            </w:r>
          </w:p>
        </w:tc>
        <w:tc>
          <w:tcPr>
            <w:tcW w:w="129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江苏实朴检测服务有限公司</w:t>
            </w:r>
          </w:p>
        </w:tc>
        <w:tc>
          <w:tcPr>
            <w:tcW w:w="1799"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SEP/NJ/E191119</w:t>
            </w:r>
            <w:r>
              <w:rPr>
                <w:rFonts w:hint="eastAsia" w:ascii="Times New Roman" w:hAnsi="Times New Roman" w:eastAsia="宋体" w:cs="Times New Roman"/>
                <w:b w:val="0"/>
                <w:bCs w:val="0"/>
                <w:color w:val="auto"/>
                <w:sz w:val="21"/>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9"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地下水</w:t>
            </w:r>
          </w:p>
        </w:tc>
        <w:tc>
          <w:tcPr>
            <w:tcW w:w="188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pH、氨氮、硝酸盐、亚硝酸盐、挥发性酚类、氰化物、砷、汞、铬(六价)、总硬度、铅、氟、镉、铁、锰、溶解性总固体、高锰酸盐指数、硫酸盐、氯化物、石油类和锌</w:t>
            </w:r>
          </w:p>
        </w:tc>
        <w:tc>
          <w:tcPr>
            <w:tcW w:w="125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2019.11.27</w:t>
            </w:r>
          </w:p>
        </w:tc>
        <w:tc>
          <w:tcPr>
            <w:tcW w:w="1258"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2019.11.29</w:t>
            </w:r>
          </w:p>
        </w:tc>
        <w:tc>
          <w:tcPr>
            <w:tcW w:w="1333"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2019.11.29-2019.12.10</w:t>
            </w:r>
          </w:p>
        </w:tc>
        <w:tc>
          <w:tcPr>
            <w:tcW w:w="129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河北升泰环境检测有限公司</w:t>
            </w:r>
          </w:p>
        </w:tc>
        <w:tc>
          <w:tcPr>
            <w:tcW w:w="1799" w:type="dxa"/>
            <w:noWrap w:val="0"/>
            <w:vAlign w:val="center"/>
          </w:tcPr>
          <w:p>
            <w:pPr>
              <w:keepNext w:val="0"/>
              <w:keepLines w:val="0"/>
              <w:widowControl w:val="0"/>
              <w:suppressLineNumbers w:val="0"/>
              <w:spacing w:before="312" w:beforeLines="10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河北升泰 检2019第26</w:t>
            </w:r>
            <w:r>
              <w:rPr>
                <w:rFonts w:hint="eastAsia" w:ascii="Times New Roman" w:hAnsi="Times New Roman" w:eastAsia="宋体" w:cs="Times New Roman"/>
                <w:b w:val="0"/>
                <w:bCs w:val="0"/>
                <w:color w:val="auto"/>
                <w:sz w:val="21"/>
                <w:szCs w:val="21"/>
                <w:highlight w:val="none"/>
                <w:vertAlign w:val="baseline"/>
                <w:lang w:val="en-US" w:eastAsia="zh-CN" w:bidi="ar-SA"/>
              </w:rPr>
              <w:t>1</w:t>
            </w:r>
            <w:r>
              <w:rPr>
                <w:rFonts w:hint="default" w:ascii="Times New Roman" w:hAnsi="Times New Roman" w:eastAsia="宋体" w:cs="Times New Roman"/>
                <w:b w:val="0"/>
                <w:bCs w:val="0"/>
                <w:color w:val="auto"/>
                <w:sz w:val="21"/>
                <w:szCs w:val="21"/>
                <w:highlight w:val="none"/>
                <w:vertAlign w:val="baseline"/>
                <w:lang w:val="en-US" w:eastAsia="zh-CN" w:bidi="ar-SA"/>
              </w:rPr>
              <w:t>号</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bl>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170" w:name="_Toc13740"/>
      <w:bookmarkStart w:id="171" w:name="_Toc22599"/>
      <w:bookmarkStart w:id="172" w:name="_Toc12595"/>
      <w:bookmarkStart w:id="173" w:name="_Toc13224"/>
      <w:bookmarkStart w:id="174" w:name="_Toc14846"/>
      <w:r>
        <w:rPr>
          <w:rFonts w:hint="default" w:ascii="Times New Roman" w:hAnsi="Times New Roman" w:eastAsia="宋体" w:cs="Times New Roman"/>
          <w:color w:val="auto"/>
          <w:sz w:val="28"/>
          <w:szCs w:val="28"/>
          <w:lang w:val="en-US" w:eastAsia="zh-CN"/>
        </w:rPr>
        <w:t>5.2 质量控制</w:t>
      </w:r>
      <w:bookmarkEnd w:id="170"/>
      <w:bookmarkEnd w:id="171"/>
      <w:bookmarkEnd w:id="172"/>
      <w:bookmarkEnd w:id="173"/>
      <w:bookmarkEnd w:id="174"/>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本项目的质量控制和质量管理分样品采样、样品流转和实验室分析的质量控制和质量管理三个部分。</w:t>
      </w:r>
      <w:r>
        <w:rPr>
          <w:rFonts w:hint="default" w:ascii="Times New Roman" w:hAnsi="Times New Roman" w:eastAsia="宋体" w:cs="Times New Roman"/>
          <w:color w:val="auto"/>
        </w:rPr>
        <w:t>其中现场质量控制分为现场空白样质量控制、运输空白样质量控制、现场平行样质量控制三部分。</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75" w:name="_Toc22341"/>
      <w:bookmarkStart w:id="176" w:name="_Toc17899"/>
      <w:r>
        <w:rPr>
          <w:rFonts w:hint="default" w:ascii="Times New Roman" w:hAnsi="Times New Roman" w:eastAsia="宋体" w:cs="Times New Roman"/>
          <w:color w:val="auto"/>
          <w:lang w:val="en-US" w:eastAsia="zh-CN"/>
        </w:rPr>
        <w:t>5.2.1 采样现场质量控制</w:t>
      </w:r>
      <w:bookmarkEnd w:id="175"/>
      <w:bookmarkEnd w:id="176"/>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5.2.1.1采样过程基本要求</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①按照《土壤环境监测技术规范》（HJ/T 166-2004）、《场地环境监测技术导则》（HJ25.2-2014）中的规范要求进行样品采集和保存。并按规定进行样品制备，采集和制备样品所用的器具均不会对分析样品造成污染。</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采集土壤样品用于分析挥发性有机物指标时，建议每次运输应采集至少一个运输空白样，即从实验室带到采样现场后，又返回实验室的与运输过程有关，并与分析无关的样品，以便了解运输途中是否受到污染和样品是否损失。</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③现场采样记录、现场监测记录可使用表格描述土壤特征、可疑物质或异常现象等，同时应保留现场相关影像记录，其内容、页码、编号要齐全便于核查，如有改动应注明修改人及时间。</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5.2.1.2采样过程交叉污染控制</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应防止采样过程中的交叉污染。钻机采样过程中，在第一个钻孔开钻前要进行设备清洗；进行连续多次钻孔的钻探设备应进行清洗；同一钻机在不同深度采样时，应对钻探设备、取样装置进行清洗；与土壤接触的其他采样工具重复利用时也应清洗。一般情况下可用清水清理，也可用待采土样或清洁土壤进行清洗；必要时或特殊情况下，可采用无磷去垢剂溶液、高压自来水、去离子水（蒸馏水）或10%硝酸进行清洗。本项目采用高压自来水或洁净的土壤进行清洗。</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5.2.1.3采样过程现场管理</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①安全责任人：负责调查、发现、并提出针对现场的安全健康的要求。有权停止现场工作中任何违反安全健康要求的操作。</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②工作负责人：根据既定的采样方案组织、完成现场的采样工作，确保现场的采样工作顺利、安全实施。</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③样品管理员：负责采样容器的准备、采样记录和样品保存，确保样品编号正确、样品保存和流转满足要求，确保样品包装紧密，避免交叉污染，确保送样并确认实验室收到样品。</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5.2.1.4采集现场质量控制样品</w:t>
      </w:r>
    </w:p>
    <w:p>
      <w:pPr>
        <w:pStyle w:val="2"/>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采集现场质量控制样是现场采样和实验室质量控制的重要手段。</w:t>
      </w:r>
      <w:r>
        <w:rPr>
          <w:rFonts w:hint="default" w:ascii="Times New Roman" w:hAnsi="Times New Roman" w:eastAsia="宋体" w:cs="Times New Roman"/>
          <w:color w:val="auto"/>
          <w:kern w:val="0"/>
          <w:sz w:val="24"/>
        </w:rPr>
        <w:t>为评估从采样到样品运输、贮存和数据分析等不同阶段的质量控制效果，本项目在采样过程中现场平行样、 现场空白样、运输空白样、清洗空白样和分样等进行了质量控制</w:t>
      </w:r>
      <w:r>
        <w:rPr>
          <w:rFonts w:hint="default" w:ascii="Times New Roman" w:hAnsi="Times New Roman" w:eastAsia="宋体" w:cs="Times New Roman"/>
          <w:color w:val="auto"/>
          <w:kern w:val="0"/>
          <w:sz w:val="24"/>
          <w:lang w:eastAsia="zh-CN"/>
        </w:rPr>
        <w:t>。</w: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bookmarkStart w:id="177" w:name="_Toc23401"/>
      <w:bookmarkStart w:id="178" w:name="_Toc6914"/>
      <w:bookmarkStart w:id="179" w:name="_Toc3663"/>
      <w:bookmarkStart w:id="180" w:name="_Toc8229"/>
      <w:bookmarkStart w:id="181" w:name="_Toc24000"/>
      <w:r>
        <w:rPr>
          <w:rFonts w:hint="default" w:ascii="Times New Roman" w:hAnsi="Times New Roman" w:eastAsia="宋体" w:cs="Times New Roman"/>
          <w:color w:val="auto"/>
          <w:lang w:val="en-US" w:eastAsia="zh-CN"/>
        </w:rPr>
        <w:t>（1）现场空白样质量控制</w:t>
      </w:r>
      <w:bookmarkEnd w:id="177"/>
      <w:bookmarkEnd w:id="178"/>
      <w:bookmarkEnd w:id="179"/>
      <w:bookmarkEnd w:id="180"/>
      <w:bookmarkEnd w:id="181"/>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b w:val="0"/>
          <w:color w:val="auto"/>
          <w:kern w:val="2"/>
          <w:sz w:val="24"/>
          <w:szCs w:val="22"/>
          <w:lang w:val="en-US" w:eastAsia="zh-CN" w:bidi="ar-SA"/>
        </w:rPr>
        <w:t>现场空白样（field blank）主要</w:t>
      </w:r>
      <w:r>
        <w:rPr>
          <w:rFonts w:hint="default" w:ascii="Times New Roman" w:hAnsi="Times New Roman" w:eastAsia="宋体" w:cs="Times New Roman"/>
          <w:color w:val="auto"/>
        </w:rPr>
        <w:t>目的在于提供一种判断现场采样设备及其在采样过程中是否受到污染的方法。在采样过程中，在现场打开现场空白样采样瓶（装有10ml甲醇），采样结束后盖紧瓶盖，与样品同等条件下保存、运输和送交实验室，以判断采样过程中是否受到现场环境条件的影响。根据实验室提供的检测报告内容，本项目现场空白样的实验室VOCs检测结果均低于检测限值，表明项目所采取的采样方式能够确保样品在采集过程中不受周围环境影响。</w: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bookmarkStart w:id="182" w:name="_Toc17746"/>
      <w:bookmarkStart w:id="183" w:name="_Toc22372"/>
      <w:bookmarkStart w:id="184" w:name="_Toc9721"/>
      <w:bookmarkStart w:id="185" w:name="_Toc24653"/>
      <w:bookmarkStart w:id="186" w:name="_Toc10525"/>
      <w:r>
        <w:rPr>
          <w:rFonts w:hint="default" w:ascii="Times New Roman" w:hAnsi="Times New Roman" w:eastAsia="宋体" w:cs="Times New Roman"/>
          <w:color w:val="auto"/>
          <w:lang w:val="en-US" w:eastAsia="zh-CN"/>
        </w:rPr>
        <w:t>（2）运输空白样质量控制</w:t>
      </w:r>
      <w:bookmarkEnd w:id="182"/>
      <w:bookmarkEnd w:id="183"/>
      <w:bookmarkEnd w:id="184"/>
      <w:bookmarkEnd w:id="185"/>
      <w:bookmarkEnd w:id="186"/>
    </w:p>
    <w:p>
      <w:pPr>
        <w:pStyle w:val="2"/>
        <w:pageBreakBefore w:val="0"/>
        <w:kinsoku/>
        <w:wordWrap/>
        <w:overflowPunct/>
        <w:topLinePunct w:val="0"/>
        <w:bidi w:val="0"/>
        <w:spacing w:line="360" w:lineRule="auto"/>
        <w:rPr>
          <w:rFonts w:hint="default" w:ascii="Times New Roman" w:hAnsi="Times New Roman" w:eastAsia="宋体" w:cs="Times New Roman"/>
          <w:b w:val="0"/>
          <w:color w:val="auto"/>
          <w:kern w:val="2"/>
          <w:sz w:val="24"/>
          <w:szCs w:val="22"/>
          <w:lang w:val="en-US" w:eastAsia="zh-CN" w:bidi="ar-SA"/>
        </w:rPr>
      </w:pPr>
      <w:r>
        <w:rPr>
          <w:rFonts w:hint="default" w:ascii="Times New Roman" w:hAnsi="Times New Roman" w:eastAsia="宋体" w:cs="Times New Roman"/>
          <w:b w:val="0"/>
          <w:color w:val="auto"/>
          <w:kern w:val="2"/>
          <w:sz w:val="24"/>
          <w:szCs w:val="22"/>
          <w:lang w:val="en-US" w:eastAsia="zh-CN" w:bidi="ar-SA"/>
        </w:rPr>
        <w:t>运输空白样（Trip blank）主要被用来检测样品瓶在运输至场地以及从场地运输至实验室过程中是否受到污染，且主要针对VOCs。运输空白样的可能污染方式包括实验室用水污染，采样瓶不干净，样品瓶在保存、运输过程中受到交叉污染等。根据实验室提供的检测报告内容，本项目运输空白样的实验室VOCs检测结果均低于检测限值，表明项目所采取的运输方式能够确保样品在运输过程中不受到影响。</w: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bookmarkStart w:id="187" w:name="_Toc26726"/>
      <w:bookmarkStart w:id="188" w:name="_Toc4782"/>
      <w:bookmarkStart w:id="189" w:name="_Toc12740"/>
      <w:bookmarkStart w:id="190" w:name="_Toc10868"/>
      <w:r>
        <w:rPr>
          <w:rFonts w:hint="default" w:ascii="Times New Roman" w:hAnsi="Times New Roman" w:eastAsia="宋体" w:cs="Times New Roman"/>
          <w:color w:val="auto"/>
          <w:lang w:val="en-US" w:eastAsia="zh-CN"/>
        </w:rPr>
        <w:t>（3）现场平行样质量控制</w:t>
      </w:r>
      <w:bookmarkEnd w:id="187"/>
      <w:bookmarkEnd w:id="188"/>
      <w:bookmarkEnd w:id="189"/>
      <w:bookmarkEnd w:id="190"/>
    </w:p>
    <w:p>
      <w:pPr>
        <w:pageBreakBefore w:val="0"/>
        <w:kinsoku/>
        <w:wordWrap/>
        <w:overflowPunct/>
        <w:topLinePunct w:val="0"/>
        <w:bidi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color w:val="auto"/>
        </w:rPr>
        <w:t>本项目现场采集样品</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组，平行样采集</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组，现场采集平行样不小于总样品数的10%，用于我单位内部的采样与检测分析的质量控制。本项目现场质控平行样见表</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p>
    <w:p>
      <w:pPr>
        <w:pageBreakBefore w:val="0"/>
        <w:kinsoku/>
        <w:wordWrap/>
        <w:overflowPunct/>
        <w:topLinePunct w:val="0"/>
        <w:bidi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5</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2</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 xml:space="preserve">1  </w:t>
      </w:r>
      <w:r>
        <w:rPr>
          <w:rFonts w:hint="default" w:ascii="Times New Roman" w:hAnsi="Times New Roman" w:eastAsia="宋体" w:cs="Times New Roman"/>
          <w:b/>
          <w:color w:val="auto"/>
          <w:szCs w:val="21"/>
        </w:rPr>
        <w:t>现场采集的平行样一览表</w:t>
      </w:r>
    </w:p>
    <w:tbl>
      <w:tblPr>
        <w:tblStyle w:val="1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823"/>
        <w:gridCol w:w="6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0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平行样</w:t>
            </w:r>
          </w:p>
        </w:tc>
        <w:tc>
          <w:tcPr>
            <w:tcW w:w="82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原始样</w:t>
            </w:r>
          </w:p>
        </w:tc>
        <w:tc>
          <w:tcPr>
            <w:tcW w:w="639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30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S3-5.0-dup</w:t>
            </w:r>
          </w:p>
        </w:tc>
        <w:tc>
          <w:tcPr>
            <w:tcW w:w="82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S3-5.0</w:t>
            </w:r>
          </w:p>
        </w:tc>
        <w:tc>
          <w:tcPr>
            <w:tcW w:w="639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pH、重金属（砷、镉、铜、铅、汞、镍、</w:t>
            </w:r>
            <w:r>
              <w:rPr>
                <w:rFonts w:hint="default" w:ascii="Times New Roman" w:hAnsi="Times New Roman" w:eastAsia="宋体" w:cs="Times New Roman"/>
                <w:color w:val="auto"/>
                <w:sz w:val="21"/>
                <w:szCs w:val="21"/>
              </w:rPr>
              <w:t>六价铬</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eastAsia="zh-CN"/>
              </w:rPr>
              <w:t>锌</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VOCs、SVOCs、TPH</w:t>
            </w:r>
          </w:p>
        </w:tc>
      </w:tr>
    </w:tbl>
    <w:p>
      <w:pPr>
        <w:pageBreakBefore w:val="0"/>
        <w:kinsoku/>
        <w:wordWrap/>
        <w:overflowPunct/>
        <w:topLinePunct w:val="0"/>
        <w:autoSpaceDE/>
        <w:autoSpaceDN/>
        <w:bidi w:val="0"/>
        <w:spacing w:line="360" w:lineRule="auto"/>
        <w:ind w:left="0" w:leftChars="0"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原始样和平行样的相对分析误差（RPD）来评价从采样到样品运输、贮存和数据分析等不同阶段的质量控制效果，RPD目标值要求重金属不超过±20%，有机物不超过±30%。对于检出浓度低于10倍检测限的参数，其相对分析误差未计算，或者可以接受更高的RPD。RPD计算公式如下：</w:t>
      </w:r>
    </w:p>
    <w:p>
      <w:pPr>
        <w:pageBreakBefore w:val="0"/>
        <w:kinsoku/>
        <w:wordWrap/>
        <w:overflowPunct/>
        <w:topLinePunct w:val="0"/>
        <w:autoSpaceDE/>
        <w:autoSpaceDN/>
        <w:bidi w:val="0"/>
        <w:spacing w:line="360" w:lineRule="auto"/>
        <w:ind w:firstLine="56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position w:val="-30"/>
          <w:sz w:val="24"/>
          <w:szCs w:val="24"/>
        </w:rPr>
        <w:object>
          <v:shape id="_x0000_i1038" o:spt="75" type="#_x0000_t75" style="height:36pt;width:138pt;" o:ole="t" filled="f" o:preferrelative="t" stroked="f" coordsize="21600,21600">
            <v:path/>
            <v:fill on="f" focussize="0,0"/>
            <v:stroke on="f"/>
            <v:imagedata r:id="rId72" o:title=""/>
            <o:lock v:ext="edit" aspectratio="t"/>
            <w10:wrap type="none"/>
            <w10:anchorlock/>
          </v:shape>
          <o:OLEObject Type="Embed" ProgID="Equation.KSEE3" ShapeID="_x0000_i1038" DrawAspect="Content" ObjectID="_1468075738" r:id="rId71">
            <o:LockedField>false</o:LockedField>
          </o:OLEObject>
        </w:object>
      </w:r>
    </w:p>
    <w:p>
      <w:pPr>
        <w:pageBreakBefore w:val="0"/>
        <w:kinsoku/>
        <w:wordWrap/>
        <w:overflowPunct/>
        <w:topLinePunct w:val="0"/>
        <w:autoSpaceDE/>
        <w:autoSpaceDN/>
        <w:bidi w:val="0"/>
        <w:spacing w:before="120" w:beforeLines="50"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式中：Ci</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—某平行样i中某检测项目的检出浓度；</w:t>
      </w:r>
    </w:p>
    <w:p>
      <w:pPr>
        <w:pageBreakBefore w:val="0"/>
        <w:kinsoku/>
        <w:wordWrap/>
        <w:overflowPunct/>
        <w:topLinePunct w:val="0"/>
        <w:autoSpaceDE/>
        <w:autoSpaceDN/>
        <w:bidi w:val="0"/>
        <w:spacing w:before="120" w:beforeLines="50"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Ci</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—平行样i对应的原始样中该检测项目的检出浓度。</w:t>
      </w:r>
    </w:p>
    <w:p>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本项目土壤原始样和平行样中VOCs、SVOCs等有机物</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TPH</w:t>
      </w:r>
      <w:r>
        <w:rPr>
          <w:rFonts w:hint="default" w:ascii="Times New Roman" w:hAnsi="Times New Roman" w:eastAsia="宋体" w:cs="Times New Roman"/>
          <w:color w:val="auto"/>
        </w:rPr>
        <w:t>以及六价铬均未检出，只有pH值及重金属砷、镉、铜、铅、汞、镍</w:t>
      </w:r>
      <w:r>
        <w:rPr>
          <w:rFonts w:hint="default" w:ascii="Times New Roman" w:hAnsi="Times New Roman" w:eastAsia="宋体" w:cs="Times New Roman"/>
          <w:color w:val="auto"/>
          <w:lang w:eastAsia="zh-CN"/>
        </w:rPr>
        <w:t>和锌</w:t>
      </w:r>
      <w:r>
        <w:rPr>
          <w:rFonts w:hint="default" w:ascii="Times New Roman" w:hAnsi="Times New Roman" w:eastAsia="宋体" w:cs="Times New Roman"/>
          <w:color w:val="auto"/>
        </w:rPr>
        <w:t>有检出，本项目土壤平行样和原始样RPD值具体分析结果见表5.2-2。</w:t>
      </w:r>
    </w:p>
    <w:p>
      <w:pPr>
        <w:pageBreakBefore w:val="0"/>
        <w:kinsoku/>
        <w:wordWrap/>
        <w:overflowPunct/>
        <w:topLinePunct w:val="0"/>
        <w:bidi w:val="0"/>
        <w:spacing w:line="360" w:lineRule="auto"/>
        <w:jc w:val="center"/>
        <w:rPr>
          <w:rFonts w:hint="default" w:ascii="Times New Roman" w:hAnsi="Times New Roman" w:eastAsia="宋体" w:cs="Times New Roman"/>
          <w:b/>
          <w:color w:val="auto"/>
          <w:szCs w:val="21"/>
        </w:rPr>
      </w:pPr>
    </w:p>
    <w:p>
      <w:pPr>
        <w:pageBreakBefore w:val="0"/>
        <w:kinsoku/>
        <w:wordWrap/>
        <w:overflowPunct/>
        <w:topLinePunct w:val="0"/>
        <w:bidi w:val="0"/>
        <w:spacing w:line="360" w:lineRule="auto"/>
        <w:jc w:val="center"/>
        <w:rPr>
          <w:rFonts w:hint="default" w:ascii="Times New Roman" w:hAnsi="Times New Roman" w:eastAsia="宋体" w:cs="Times New Roman"/>
          <w:b/>
          <w:color w:val="auto"/>
          <w:szCs w:val="21"/>
        </w:rPr>
      </w:pPr>
    </w:p>
    <w:p>
      <w:pPr>
        <w:pageBreakBefore w:val="0"/>
        <w:kinsoku/>
        <w:wordWrap/>
        <w:overflowPunct/>
        <w:topLinePunct w:val="0"/>
        <w:bidi w:val="0"/>
        <w:spacing w:line="360" w:lineRule="auto"/>
        <w:jc w:val="center"/>
        <w:rPr>
          <w:rFonts w:hint="default" w:ascii="Times New Roman" w:hAnsi="Times New Roman" w:eastAsia="宋体" w:cs="Times New Roman"/>
          <w:b/>
          <w:color w:val="auto"/>
          <w:szCs w:val="21"/>
        </w:rPr>
      </w:pPr>
    </w:p>
    <w:p>
      <w:pPr>
        <w:pageBreakBefore w:val="0"/>
        <w:kinsoku/>
        <w:wordWrap/>
        <w:overflowPunct/>
        <w:topLinePunct w:val="0"/>
        <w:bidi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5</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2</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 xml:space="preserve">2  </w:t>
      </w:r>
      <w:r>
        <w:rPr>
          <w:rFonts w:hint="default" w:ascii="Times New Roman" w:hAnsi="Times New Roman" w:eastAsia="宋体" w:cs="Times New Roman"/>
          <w:b/>
          <w:color w:val="auto"/>
          <w:szCs w:val="21"/>
        </w:rPr>
        <w:t>土壤平行样和原始样RPD分析结果</w:t>
      </w: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686"/>
        <w:gridCol w:w="1363"/>
        <w:gridCol w:w="1324"/>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dxa"/>
            <w:vMerge w:val="restart"/>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检测因子</w:t>
            </w:r>
          </w:p>
        </w:tc>
        <w:tc>
          <w:tcPr>
            <w:tcW w:w="268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检出限（mg/kg）</w:t>
            </w:r>
          </w:p>
        </w:tc>
        <w:tc>
          <w:tcPr>
            <w:tcW w:w="2687" w:type="dxa"/>
            <w:gridSpan w:val="2"/>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检测值（mg/kg）</w:t>
            </w:r>
          </w:p>
        </w:tc>
        <w:tc>
          <w:tcPr>
            <w:tcW w:w="1578" w:type="dxa"/>
            <w:vMerge w:val="restart"/>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RPD（%）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rPr>
            </w:pPr>
          </w:p>
        </w:tc>
        <w:tc>
          <w:tcPr>
            <w:tcW w:w="268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rPr>
            </w:pPr>
          </w:p>
        </w:tc>
        <w:tc>
          <w:tcPr>
            <w:tcW w:w="136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rPr>
              <w:t>S3-5.0</w:t>
            </w:r>
          </w:p>
        </w:tc>
        <w:tc>
          <w:tcPr>
            <w:tcW w:w="1324"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rPr>
              <w:t>S3-5.0-dup</w:t>
            </w:r>
          </w:p>
        </w:tc>
        <w:tc>
          <w:tcPr>
            <w:tcW w:w="157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铜</w:t>
            </w:r>
          </w:p>
        </w:tc>
        <w:tc>
          <w:tcPr>
            <w:tcW w:w="268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0.6</w:t>
            </w:r>
          </w:p>
        </w:tc>
        <w:tc>
          <w:tcPr>
            <w:tcW w:w="136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36.1</w:t>
            </w:r>
          </w:p>
        </w:tc>
        <w:tc>
          <w:tcPr>
            <w:tcW w:w="132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32</w:t>
            </w:r>
          </w:p>
        </w:tc>
        <w:tc>
          <w:tcPr>
            <w:tcW w:w="1578"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镍</w:t>
            </w:r>
          </w:p>
        </w:tc>
        <w:tc>
          <w:tcPr>
            <w:tcW w:w="268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1</w:t>
            </w:r>
          </w:p>
        </w:tc>
        <w:tc>
          <w:tcPr>
            <w:tcW w:w="136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37</w:t>
            </w:r>
          </w:p>
        </w:tc>
        <w:tc>
          <w:tcPr>
            <w:tcW w:w="132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33</w:t>
            </w:r>
          </w:p>
        </w:tc>
        <w:tc>
          <w:tcPr>
            <w:tcW w:w="1578"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锌</w:t>
            </w:r>
          </w:p>
        </w:tc>
        <w:tc>
          <w:tcPr>
            <w:tcW w:w="268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1</w:t>
            </w:r>
          </w:p>
        </w:tc>
        <w:tc>
          <w:tcPr>
            <w:tcW w:w="136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77</w:t>
            </w:r>
          </w:p>
        </w:tc>
        <w:tc>
          <w:tcPr>
            <w:tcW w:w="132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72</w:t>
            </w:r>
          </w:p>
        </w:tc>
        <w:tc>
          <w:tcPr>
            <w:tcW w:w="1578"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铅</w:t>
            </w:r>
          </w:p>
        </w:tc>
        <w:tc>
          <w:tcPr>
            <w:tcW w:w="268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2</w:t>
            </w:r>
          </w:p>
        </w:tc>
        <w:tc>
          <w:tcPr>
            <w:tcW w:w="136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24</w:t>
            </w:r>
          </w:p>
        </w:tc>
        <w:tc>
          <w:tcPr>
            <w:tcW w:w="132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20</w:t>
            </w:r>
          </w:p>
        </w:tc>
        <w:tc>
          <w:tcPr>
            <w:tcW w:w="1578"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镉</w:t>
            </w:r>
          </w:p>
        </w:tc>
        <w:tc>
          <w:tcPr>
            <w:tcW w:w="268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0.09</w:t>
            </w:r>
          </w:p>
        </w:tc>
        <w:tc>
          <w:tcPr>
            <w:tcW w:w="136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0.09</w:t>
            </w:r>
          </w:p>
        </w:tc>
        <w:tc>
          <w:tcPr>
            <w:tcW w:w="132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0.12</w:t>
            </w:r>
          </w:p>
        </w:tc>
        <w:tc>
          <w:tcPr>
            <w:tcW w:w="1578"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砷</w:t>
            </w:r>
          </w:p>
        </w:tc>
        <w:tc>
          <w:tcPr>
            <w:tcW w:w="2686"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0.01</w:t>
            </w:r>
          </w:p>
        </w:tc>
        <w:tc>
          <w:tcPr>
            <w:tcW w:w="1363"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10.4</w:t>
            </w:r>
          </w:p>
        </w:tc>
        <w:tc>
          <w:tcPr>
            <w:tcW w:w="1324"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9.11</w:t>
            </w:r>
          </w:p>
        </w:tc>
        <w:tc>
          <w:tcPr>
            <w:tcW w:w="1578"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汞</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0.002</w:t>
            </w:r>
          </w:p>
        </w:tc>
        <w:tc>
          <w:tcPr>
            <w:tcW w:w="136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0.086</w:t>
            </w:r>
          </w:p>
        </w:tc>
        <w:tc>
          <w:tcPr>
            <w:tcW w:w="132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i w:val="0"/>
                <w:color w:val="auto"/>
                <w:sz w:val="21"/>
                <w:szCs w:val="21"/>
                <w:u w:val="none"/>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0.079</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8.48</w:t>
            </w:r>
          </w:p>
        </w:tc>
      </w:tr>
    </w:tbl>
    <w:p>
      <w:pPr>
        <w:pageBreakBefore w:val="0"/>
        <w:kinsoku/>
        <w:wordWrap/>
        <w:overflowPunct/>
        <w:topLinePunct w:val="0"/>
        <w:bidi w:val="0"/>
        <w:spacing w:line="360" w:lineRule="auto"/>
        <w:rPr>
          <w:rFonts w:hint="default" w:ascii="Times New Roman" w:hAnsi="Times New Roman" w:eastAsia="宋体" w:cs="Times New Roman"/>
          <w:color w:val="auto"/>
          <w:highlight w:val="yellow"/>
          <w:lang w:eastAsia="zh-CN"/>
        </w:rPr>
      </w:pPr>
      <w:r>
        <w:rPr>
          <w:rFonts w:hint="default" w:ascii="Times New Roman" w:hAnsi="Times New Roman" w:eastAsia="宋体" w:cs="Times New Roman"/>
          <w:color w:val="auto"/>
        </w:rPr>
        <w:t>根据表</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，土壤平行样和原始样重金属的RPD范围为</w:t>
      </w:r>
      <w:r>
        <w:rPr>
          <w:rFonts w:hint="eastAsia" w:ascii="Times New Roman" w:hAnsi="Times New Roman" w:eastAsia="宋体" w:cs="Times New Roman"/>
          <w:color w:val="auto"/>
          <w:lang w:val="en-US" w:eastAsia="zh-CN"/>
        </w:rPr>
        <w:t>6.71-18.18</w:t>
      </w:r>
      <w:r>
        <w:rPr>
          <w:rFonts w:hint="default" w:ascii="Times New Roman" w:hAnsi="Times New Roman" w:eastAsia="宋体" w:cs="Times New Roman"/>
          <w:color w:val="auto"/>
        </w:rPr>
        <w:t>%。土壤平行样的RPD分析结果均低于相应目标值</w:t>
      </w:r>
      <w:r>
        <w:rPr>
          <w:rFonts w:hint="default" w:ascii="Times New Roman" w:hAnsi="Times New Roman" w:eastAsia="宋体" w:cs="Times New Roman"/>
          <w:color w:val="auto"/>
          <w:lang w:eastAsia="zh-CN"/>
        </w:rPr>
        <w:t>（20%）</w:t>
      </w:r>
      <w:r>
        <w:rPr>
          <w:rFonts w:hint="default" w:ascii="Times New Roman" w:hAnsi="Times New Roman" w:eastAsia="宋体" w:cs="Times New Roman"/>
          <w:color w:val="auto"/>
        </w:rPr>
        <w:t>，满足样品采集QA/QC的国际惯例要求</w:t>
      </w:r>
      <w:r>
        <w:rPr>
          <w:rFonts w:hint="default" w:ascii="Times New Roman" w:hAnsi="Times New Roman" w:eastAsia="宋体" w:cs="Times New Roman"/>
          <w:color w:val="auto"/>
          <w:lang w:eastAsia="zh-CN"/>
        </w:rPr>
        <w:t>。</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91" w:name="_Toc2499"/>
      <w:bookmarkStart w:id="192" w:name="_Toc19199"/>
      <w:bookmarkStart w:id="193" w:name="_Toc12119"/>
      <w:bookmarkStart w:id="194" w:name="_Toc1061"/>
      <w:bookmarkStart w:id="195" w:name="_Toc20103"/>
      <w:r>
        <w:rPr>
          <w:rFonts w:hint="default" w:ascii="Times New Roman" w:hAnsi="Times New Roman" w:eastAsia="宋体" w:cs="Times New Roman"/>
          <w:color w:val="auto"/>
          <w:lang w:val="en-US" w:eastAsia="zh-CN"/>
        </w:rPr>
        <w:t>5.2.2 样品流转质量控制</w:t>
      </w:r>
      <w:bookmarkEnd w:id="191"/>
      <w:bookmarkEnd w:id="192"/>
      <w:bookmarkEnd w:id="193"/>
      <w:bookmarkEnd w:id="194"/>
      <w:bookmarkEnd w:id="195"/>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（1）现场采集的样品在放入保温箱进行包装前，应对每个样品瓶上的采样编号、采样日期、采样地点等相关信息进行核对，并登记造册，同时应确保样品的密封性和包装的完整性。</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（2）核对后的样品应立即放入包装完整、密封性良好、内置有适量蓝冰的保存箱中，然后再进行包装。包装后的保温箱应确保内部温度不高于4℃，直至样品安全抵达分析实验室。</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196" w:name="_Toc17773"/>
      <w:bookmarkStart w:id="197" w:name="_Toc167"/>
      <w:bookmarkStart w:id="198" w:name="_Toc24239"/>
      <w:bookmarkStart w:id="199" w:name="_Toc9056"/>
      <w:bookmarkStart w:id="200" w:name="_Toc32586"/>
      <w:bookmarkStart w:id="201" w:name="_Toc15357"/>
      <w:r>
        <w:rPr>
          <w:rFonts w:hint="default" w:ascii="Times New Roman" w:hAnsi="Times New Roman" w:eastAsia="宋体" w:cs="Times New Roman"/>
          <w:color w:val="auto"/>
          <w:lang w:val="en-US" w:eastAsia="zh-CN"/>
        </w:rPr>
        <w:t>5.2.3 实验室内部质量控制</w:t>
      </w:r>
      <w:bookmarkEnd w:id="196"/>
      <w:bookmarkEnd w:id="197"/>
      <w:bookmarkEnd w:id="198"/>
      <w:bookmarkEnd w:id="199"/>
      <w:bookmarkEnd w:id="200"/>
      <w:bookmarkEnd w:id="201"/>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5.2.3.1质量控制要求</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样品分析质量控制由</w:t>
      </w:r>
      <w:r>
        <w:rPr>
          <w:rFonts w:hint="default" w:ascii="Times New Roman" w:hAnsi="Times New Roman" w:eastAsia="宋体" w:cs="Times New Roman"/>
          <w:color w:val="auto"/>
          <w:lang w:eastAsia="zh-CN"/>
        </w:rPr>
        <w:t>四川实朴检测技术服务</w:t>
      </w:r>
      <w:r>
        <w:rPr>
          <w:rFonts w:hint="default" w:ascii="Times New Roman" w:hAnsi="Times New Roman" w:eastAsia="宋体" w:cs="Times New Roman"/>
          <w:color w:val="auto"/>
        </w:rPr>
        <w:t>有限公司</w:t>
      </w:r>
      <w:r>
        <w:rPr>
          <w:rFonts w:hint="default" w:ascii="Times New Roman" w:hAnsi="Times New Roman" w:eastAsia="宋体" w:cs="Times New Roman"/>
          <w:color w:val="auto"/>
          <w:lang w:eastAsia="zh-CN"/>
        </w:rPr>
        <w:t>、河北实朴检测技术服务有限公司</w:t>
      </w:r>
      <w:r>
        <w:rPr>
          <w:rFonts w:hint="default" w:ascii="Times New Roman" w:hAnsi="Times New Roman" w:eastAsia="宋体" w:cs="Times New Roman"/>
          <w:color w:val="auto"/>
        </w:rPr>
        <w:t>实验室保证。样品的实验室检测分析，要严格按照规范要求进行，实施全程序质量控制：</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①实验室已经过CMA认证。</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②检测分析仪器均符合国家有关标准和技术规范的要求，均经过计量检定部门的检定或校准，并在有效期内，满足检测分析的使用要求。</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③检测分析人员均经过考核并持证上岗</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④严格按照方案要求进行样品保存和流转。</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⑤检测分析方法采用国家颁布标准或推荐的分析方法。</w:t>
      </w:r>
    </w:p>
    <w:p>
      <w:pPr>
        <w:pageBreakBefore w:val="0"/>
        <w:kinsoku/>
        <w:wordWrap/>
        <w:overflowPunct/>
        <w:topLinePunct w:val="0"/>
        <w:bidi w:val="0"/>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⑥检测实验室在正式开展土壤分析测试任务之前，完成对所选用分析测试方法的检出限、测定下限、精密度、准确度、线性范围等方法各项特性指标的确认，并形成相关质量记录。</w:t>
      </w:r>
      <w:r>
        <w:rPr>
          <w:rFonts w:hint="default" w:ascii="Times New Roman" w:hAnsi="Times New Roman" w:eastAsia="宋体" w:cs="Times New Roman"/>
          <w:color w:val="auto"/>
          <w:lang w:val="en-US" w:eastAsia="zh-CN"/>
        </w:rPr>
        <w:t xml:space="preserve">  </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⑦设置实验室质量控制样。主要包括：空白加标样、样品加标样和实验室平行样。要求每20个样品或者至少每一批样品作一个系列的实验室质量控制样，也可根据情况适当调整。质量控制样品应不少于总检测样品的10%。</w:t>
      </w:r>
    </w:p>
    <w:p>
      <w:pPr>
        <w:pageBreakBefore w:val="0"/>
        <w:kinsoku/>
        <w:wordWrap/>
        <w:overflowPunct/>
        <w:topLinePunct w:val="0"/>
        <w:bidi w:val="0"/>
        <w:spacing w:line="360" w:lineRule="auto"/>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本项目针对所采集的</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组土壤样品及</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组土壤平行样品，</w:t>
      </w:r>
      <w:r>
        <w:rPr>
          <w:rFonts w:hint="default" w:ascii="Times New Roman" w:hAnsi="Times New Roman" w:eastAsia="宋体" w:cs="Times New Roman"/>
          <w:color w:val="auto"/>
          <w:lang w:eastAsia="zh-CN"/>
        </w:rPr>
        <w:t>江苏实朴检测技术服务有限公司</w:t>
      </w:r>
      <w:r>
        <w:rPr>
          <w:rFonts w:hint="default" w:ascii="Times New Roman" w:hAnsi="Times New Roman" w:eastAsia="宋体" w:cs="Times New Roman"/>
          <w:color w:val="auto"/>
        </w:rPr>
        <w:t>针对不同的检测因子均提供了相应的实验室</w:t>
      </w:r>
      <w:r>
        <w:rPr>
          <w:rFonts w:hint="default" w:ascii="Times New Roman" w:hAnsi="Times New Roman" w:eastAsia="宋体" w:cs="Times New Roman"/>
          <w:color w:val="auto"/>
          <w:lang w:eastAsia="zh-CN"/>
        </w:rPr>
        <w:t>质控</w:t>
      </w:r>
      <w:r>
        <w:rPr>
          <w:rFonts w:hint="default" w:ascii="Times New Roman" w:hAnsi="Times New Roman" w:eastAsia="宋体" w:cs="Times New Roman"/>
          <w:color w:val="auto"/>
        </w:rPr>
        <w:t>结果：重金属分析项目共提供</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组实验室标准物质质控结果、</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组加标</w:t>
      </w:r>
      <w:r>
        <w:rPr>
          <w:rFonts w:hint="default" w:ascii="Times New Roman" w:hAnsi="Times New Roman" w:eastAsia="宋体" w:cs="Times New Roman"/>
          <w:color w:val="auto"/>
          <w:lang w:eastAsia="zh-CN"/>
        </w:rPr>
        <w:t>平行</w:t>
      </w:r>
      <w:r>
        <w:rPr>
          <w:rFonts w:hint="default" w:ascii="Times New Roman" w:hAnsi="Times New Roman" w:eastAsia="宋体" w:cs="Times New Roman"/>
          <w:color w:val="auto"/>
        </w:rPr>
        <w:t>回收率</w:t>
      </w:r>
      <w:r>
        <w:rPr>
          <w:rFonts w:hint="default" w:ascii="Times New Roman" w:hAnsi="Times New Roman" w:eastAsia="宋体" w:cs="Times New Roman"/>
          <w:color w:val="auto"/>
          <w:lang w:eastAsia="zh-CN"/>
        </w:rPr>
        <w:t>质控</w:t>
      </w:r>
      <w:r>
        <w:rPr>
          <w:rFonts w:hint="default" w:ascii="Times New Roman" w:hAnsi="Times New Roman" w:eastAsia="宋体" w:cs="Times New Roman"/>
          <w:color w:val="auto"/>
        </w:rPr>
        <w:t>结果</w:t>
      </w:r>
      <w:r>
        <w:rPr>
          <w:rFonts w:hint="default" w:ascii="Times New Roman" w:hAnsi="Times New Roman" w:eastAsia="宋体" w:cs="Times New Roman"/>
          <w:color w:val="auto"/>
          <w:lang w:eastAsia="zh-CN"/>
        </w:rPr>
        <w:t>以及</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组平行样质控结果</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挥发性有机物共提供</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组加标回收率</w:t>
      </w:r>
      <w:r>
        <w:rPr>
          <w:rFonts w:hint="default" w:ascii="Times New Roman" w:hAnsi="Times New Roman" w:eastAsia="宋体" w:cs="Times New Roman"/>
          <w:color w:val="auto"/>
          <w:lang w:eastAsia="zh-CN"/>
        </w:rPr>
        <w:t>质控</w:t>
      </w:r>
      <w:r>
        <w:rPr>
          <w:rFonts w:hint="default" w:ascii="Times New Roman" w:hAnsi="Times New Roman" w:eastAsia="宋体" w:cs="Times New Roman"/>
          <w:color w:val="auto"/>
        </w:rPr>
        <w:t>结果、</w:t>
      </w:r>
      <w:r>
        <w:rPr>
          <w:rFonts w:hint="default" w:ascii="Times New Roman" w:hAnsi="Times New Roman" w:eastAsia="宋体" w:cs="Times New Roman"/>
          <w:color w:val="auto"/>
          <w:lang w:val="en-US" w:eastAsia="zh-CN"/>
        </w:rPr>
        <w:t>1组加标平行样和1</w:t>
      </w:r>
      <w:r>
        <w:rPr>
          <w:rFonts w:hint="default" w:ascii="Times New Roman" w:hAnsi="Times New Roman" w:eastAsia="宋体" w:cs="Times New Roman"/>
          <w:color w:val="auto"/>
        </w:rPr>
        <w:t>组平行样质控结果</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半挥发性有机物共提供</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w:t>
      </w:r>
      <w:r>
        <w:rPr>
          <w:rFonts w:hint="default" w:ascii="Times New Roman" w:hAnsi="Times New Roman" w:eastAsia="宋体" w:cs="Times New Roman"/>
          <w:color w:val="auto"/>
          <w:lang w:eastAsia="zh-CN"/>
        </w:rPr>
        <w:t>实验室基体</w:t>
      </w:r>
      <w:r>
        <w:rPr>
          <w:rFonts w:hint="default" w:ascii="Times New Roman" w:hAnsi="Times New Roman" w:eastAsia="宋体" w:cs="Times New Roman"/>
          <w:color w:val="auto"/>
        </w:rPr>
        <w:t>加标回收率</w:t>
      </w:r>
      <w:r>
        <w:rPr>
          <w:rFonts w:hint="default" w:ascii="Times New Roman" w:hAnsi="Times New Roman" w:eastAsia="宋体" w:cs="Times New Roman"/>
          <w:color w:val="auto"/>
          <w:lang w:eastAsia="zh-CN"/>
        </w:rPr>
        <w:t>质控</w:t>
      </w:r>
      <w:r>
        <w:rPr>
          <w:rFonts w:hint="default" w:ascii="Times New Roman" w:hAnsi="Times New Roman" w:eastAsia="宋体" w:cs="Times New Roman"/>
          <w:color w:val="auto"/>
        </w:rPr>
        <w:t>结果</w:t>
      </w:r>
      <w:r>
        <w:rPr>
          <w:rFonts w:hint="default" w:ascii="Times New Roman" w:hAnsi="Times New Roman" w:eastAsia="宋体" w:cs="Times New Roman"/>
          <w:color w:val="auto"/>
          <w:lang w:eastAsia="zh-CN"/>
        </w:rPr>
        <w:t>和</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组平行质控样质控结果</w:t>
      </w:r>
      <w:r>
        <w:rPr>
          <w:rFonts w:hint="default" w:ascii="Times New Roman" w:hAnsi="Times New Roman" w:eastAsia="宋体" w:cs="Times New Roman"/>
          <w:color w:val="auto"/>
          <w:lang w:eastAsia="zh-CN"/>
        </w:rPr>
        <w:t>；其他因子中共</w:t>
      </w:r>
      <w:r>
        <w:rPr>
          <w:rFonts w:hint="default" w:ascii="Times New Roman" w:hAnsi="Times New Roman" w:eastAsia="宋体" w:cs="Times New Roman"/>
          <w:color w:val="auto"/>
        </w:rPr>
        <w:t>提供</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w:t>
      </w:r>
      <w:r>
        <w:rPr>
          <w:rFonts w:hint="default" w:ascii="Times New Roman" w:hAnsi="Times New Roman" w:eastAsia="宋体" w:cs="Times New Roman"/>
          <w:color w:val="auto"/>
          <w:lang w:val="en-US" w:eastAsia="zh-CN"/>
        </w:rPr>
        <w:t>pH和锌的实验室样质控结果，1组石油类</w:t>
      </w:r>
      <w:r>
        <w:rPr>
          <w:rFonts w:hint="default" w:ascii="Times New Roman" w:hAnsi="Times New Roman" w:eastAsia="宋体" w:cs="Times New Roman"/>
          <w:color w:val="auto"/>
          <w:lang w:eastAsia="zh-CN"/>
        </w:rPr>
        <w:t>加标</w:t>
      </w:r>
      <w:r>
        <w:rPr>
          <w:rFonts w:hint="default" w:ascii="Times New Roman" w:hAnsi="Times New Roman" w:eastAsia="宋体" w:cs="Times New Roman"/>
          <w:color w:val="auto"/>
        </w:rPr>
        <w:t>平行样质控结果</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1组pH和石油类</w:t>
      </w:r>
      <w:r>
        <w:rPr>
          <w:rFonts w:hint="default" w:ascii="Times New Roman" w:hAnsi="Times New Roman" w:eastAsia="宋体" w:cs="Times New Roman"/>
          <w:color w:val="auto"/>
        </w:rPr>
        <w:t>平行样质控结果</w:t>
      </w:r>
      <w:r>
        <w:rPr>
          <w:rFonts w:hint="default" w:ascii="Times New Roman" w:hAnsi="Times New Roman" w:eastAsia="宋体" w:cs="Times New Roman"/>
          <w:color w:val="auto"/>
          <w:lang w:eastAsia="zh-CN"/>
        </w:rPr>
        <w:t>，另外对锌提供了</w:t>
      </w:r>
      <w:r>
        <w:rPr>
          <w:rFonts w:hint="default" w:ascii="Times New Roman" w:hAnsi="Times New Roman" w:eastAsia="宋体" w:cs="Times New Roman"/>
          <w:color w:val="auto"/>
          <w:lang w:val="en-US" w:eastAsia="zh-CN"/>
        </w:rPr>
        <w:t>2组</w:t>
      </w:r>
      <w:r>
        <w:rPr>
          <w:rFonts w:hint="default" w:ascii="Times New Roman" w:hAnsi="Times New Roman" w:eastAsia="宋体" w:cs="Times New Roman"/>
          <w:color w:val="auto"/>
        </w:rPr>
        <w:t>平行样质控结果</w:t>
      </w:r>
      <w:r>
        <w:rPr>
          <w:rFonts w:hint="default" w:ascii="Times New Roman" w:hAnsi="Times New Roman" w:eastAsia="宋体" w:cs="Times New Roman"/>
          <w:color w:val="auto"/>
          <w:lang w:eastAsia="zh-CN"/>
        </w:rPr>
        <w:t>。</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⑧定量校准应包括分析仪器校准、校准曲线制定、仪器稳定性检查三个方面。</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⑨分析测试数据记录与审核。检测实验室应保证分析测试数据的完整性，确保全面、客观地反映分析测试结果，不得选择性地舍弃数据，人为干预分析测试结果。检测人员应对原始数据和报告数据进行校核，填写原始记录。对发现的可疑报告数据，应与样品分析测试原始记录进行校对；审核人员应对数据的准确性、逻辑性、可比性和合理性进行审核。</w:t>
      </w: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5.2.3.2实验室内部质量控制结果分析</w:t>
      </w:r>
    </w:p>
    <w:p>
      <w:pPr>
        <w:pageBreakBefore w:val="0"/>
        <w:kinsoku/>
        <w:wordWrap/>
        <w:overflowPunct/>
        <w:topLinePunct w:val="0"/>
        <w:bidi w:val="0"/>
        <w:spacing w:line="360" w:lineRule="auto"/>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）重金属</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针对本场地内所采集样品中重金属分析项目，</w:t>
      </w:r>
      <w:r>
        <w:rPr>
          <w:rFonts w:hint="default" w:ascii="Times New Roman" w:hAnsi="Times New Roman" w:eastAsia="宋体" w:cs="Times New Roman"/>
          <w:color w:val="auto"/>
          <w:lang w:eastAsia="zh-CN"/>
        </w:rPr>
        <w:t>河北实朴检测技术服务</w:t>
      </w:r>
      <w:r>
        <w:rPr>
          <w:rFonts w:hint="default" w:ascii="Times New Roman" w:hAnsi="Times New Roman" w:eastAsia="宋体" w:cs="Times New Roman"/>
          <w:color w:val="auto"/>
        </w:rPr>
        <w:t>有限公司实验室共提供</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组实验室标准物质质控结果、</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组加标</w:t>
      </w:r>
      <w:r>
        <w:rPr>
          <w:rFonts w:hint="default" w:ascii="Times New Roman" w:hAnsi="Times New Roman" w:eastAsia="宋体" w:cs="Times New Roman"/>
          <w:color w:val="auto"/>
          <w:lang w:eastAsia="zh-CN"/>
        </w:rPr>
        <w:t>平行</w:t>
      </w:r>
      <w:r>
        <w:rPr>
          <w:rFonts w:hint="default" w:ascii="Times New Roman" w:hAnsi="Times New Roman" w:eastAsia="宋体" w:cs="Times New Roman"/>
          <w:color w:val="auto"/>
        </w:rPr>
        <w:t>回收率</w:t>
      </w:r>
      <w:r>
        <w:rPr>
          <w:rFonts w:hint="default" w:ascii="Times New Roman" w:hAnsi="Times New Roman" w:eastAsia="宋体" w:cs="Times New Roman"/>
          <w:color w:val="auto"/>
          <w:lang w:eastAsia="zh-CN"/>
        </w:rPr>
        <w:t>质控</w:t>
      </w:r>
      <w:r>
        <w:rPr>
          <w:rFonts w:hint="default" w:ascii="Times New Roman" w:hAnsi="Times New Roman" w:eastAsia="宋体" w:cs="Times New Roman"/>
          <w:color w:val="auto"/>
        </w:rPr>
        <w:t>结果</w:t>
      </w:r>
      <w:r>
        <w:rPr>
          <w:rFonts w:hint="eastAsia" w:eastAsia="宋体" w:cs="Times New Roman"/>
          <w:color w:val="auto"/>
          <w:lang w:eastAsia="zh-CN"/>
        </w:rPr>
        <w:t>和</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组平行样质控结果。各类质控结果均满足相应的实验室质量控制要求，统计结果详见表5.2-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至5.2-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p>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p>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 xml:space="preserve">3  </w:t>
      </w:r>
      <w:r>
        <w:rPr>
          <w:rFonts w:hint="default" w:ascii="Times New Roman" w:hAnsi="Times New Roman" w:eastAsia="宋体" w:cs="Times New Roman"/>
          <w:b/>
          <w:bCs/>
          <w:color w:val="auto"/>
        </w:rPr>
        <w:t>重金属实验室质控样质控结果统计表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2608"/>
        <w:gridCol w:w="2960"/>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141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eastAsia="宋体" w:cs="Times New Roman"/>
                <w:b/>
                <w:bCs w:val="0"/>
                <w:color w:val="auto"/>
                <w:kern w:val="0"/>
                <w:sz w:val="21"/>
                <w:szCs w:val="21"/>
                <w:lang w:val="en-US" w:eastAsia="zh-CN" w:bidi="ar-SA"/>
              </w:rPr>
              <w:t>检测项目</w:t>
            </w:r>
          </w:p>
        </w:tc>
        <w:tc>
          <w:tcPr>
            <w:tcW w:w="2608" w:type="dxa"/>
            <w:noWrap w:val="0"/>
            <w:vAlign w:val="center"/>
          </w:tcPr>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测定值</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color w:val="auto"/>
                <w:sz w:val="21"/>
                <w:szCs w:val="21"/>
              </w:rPr>
              <w:t>mg/kg</w:t>
            </w:r>
            <w:r>
              <w:rPr>
                <w:rFonts w:hint="default" w:ascii="Times New Roman" w:hAnsi="Times New Roman" w:eastAsia="宋体" w:cs="Times New Roman"/>
                <w:b/>
                <w:bCs w:val="0"/>
                <w:color w:val="auto"/>
                <w:sz w:val="21"/>
                <w:szCs w:val="21"/>
                <w:lang w:eastAsia="zh-CN"/>
              </w:rPr>
              <w:t>）</w:t>
            </w:r>
          </w:p>
        </w:tc>
        <w:tc>
          <w:tcPr>
            <w:tcW w:w="2960"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bidi="ar"/>
              </w:rPr>
              <w:t>标准值范围</w:t>
            </w:r>
            <w:r>
              <w:rPr>
                <w:rFonts w:hint="default" w:ascii="Times New Roman" w:hAnsi="Times New Roman" w:eastAsia="宋体" w:cs="Times New Roman"/>
                <w:b/>
                <w:bCs w:val="0"/>
                <w:color w:val="auto"/>
                <w:sz w:val="21"/>
                <w:szCs w:val="21"/>
                <w:lang w:eastAsia="zh-CN" w:bidi="ar"/>
              </w:rPr>
              <w:t>（</w:t>
            </w:r>
            <w:r>
              <w:rPr>
                <w:rFonts w:hint="default" w:ascii="Times New Roman" w:hAnsi="Times New Roman" w:eastAsia="宋体" w:cs="Times New Roman"/>
                <w:color w:val="auto"/>
                <w:sz w:val="21"/>
                <w:szCs w:val="21"/>
              </w:rPr>
              <w:t>mg/kg</w:t>
            </w:r>
            <w:r>
              <w:rPr>
                <w:rFonts w:hint="default" w:ascii="Times New Roman" w:hAnsi="Times New Roman" w:eastAsia="宋体" w:cs="Times New Roman"/>
                <w:b/>
                <w:bCs w:val="0"/>
                <w:color w:val="auto"/>
                <w:sz w:val="21"/>
                <w:szCs w:val="21"/>
                <w:lang w:eastAsia="zh-CN" w:bidi="ar"/>
              </w:rPr>
              <w:t>）</w:t>
            </w:r>
          </w:p>
        </w:tc>
        <w:tc>
          <w:tcPr>
            <w:tcW w:w="143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1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铜</w:t>
            </w:r>
          </w:p>
        </w:tc>
        <w:tc>
          <w:tcPr>
            <w:tcW w:w="2608"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302</w:t>
            </w:r>
          </w:p>
        </w:tc>
        <w:tc>
          <w:tcPr>
            <w:tcW w:w="2960"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233-326</w:t>
            </w:r>
          </w:p>
        </w:tc>
        <w:tc>
          <w:tcPr>
            <w:tcW w:w="143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1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镍</w:t>
            </w:r>
          </w:p>
        </w:tc>
        <w:tc>
          <w:tcPr>
            <w:tcW w:w="2608"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130</w:t>
            </w:r>
          </w:p>
        </w:tc>
        <w:tc>
          <w:tcPr>
            <w:tcW w:w="2960"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93.9-134</w:t>
            </w:r>
          </w:p>
        </w:tc>
        <w:tc>
          <w:tcPr>
            <w:tcW w:w="143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1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锌</w:t>
            </w:r>
          </w:p>
        </w:tc>
        <w:tc>
          <w:tcPr>
            <w:tcW w:w="2608"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141</w:t>
            </w:r>
          </w:p>
        </w:tc>
        <w:tc>
          <w:tcPr>
            <w:tcW w:w="2960"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38.6-145</w:t>
            </w:r>
          </w:p>
        </w:tc>
        <w:tc>
          <w:tcPr>
            <w:tcW w:w="143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1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铅</w:t>
            </w:r>
          </w:p>
        </w:tc>
        <w:tc>
          <w:tcPr>
            <w:tcW w:w="2608"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245</w:t>
            </w:r>
          </w:p>
        </w:tc>
        <w:tc>
          <w:tcPr>
            <w:tcW w:w="2960"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184-266</w:t>
            </w:r>
          </w:p>
        </w:tc>
        <w:tc>
          <w:tcPr>
            <w:tcW w:w="143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1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镉</w:t>
            </w:r>
          </w:p>
        </w:tc>
        <w:tc>
          <w:tcPr>
            <w:tcW w:w="2608"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179</w:t>
            </w:r>
          </w:p>
        </w:tc>
        <w:tc>
          <w:tcPr>
            <w:tcW w:w="2960"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138-195</w:t>
            </w:r>
          </w:p>
        </w:tc>
        <w:tc>
          <w:tcPr>
            <w:tcW w:w="143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1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砷</w:t>
            </w:r>
          </w:p>
        </w:tc>
        <w:tc>
          <w:tcPr>
            <w:tcW w:w="2608"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w:t>
            </w:r>
          </w:p>
        </w:tc>
        <w:tc>
          <w:tcPr>
            <w:tcW w:w="2960"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10.7-14.7</w:t>
            </w:r>
          </w:p>
        </w:tc>
        <w:tc>
          <w:tcPr>
            <w:tcW w:w="1435"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0" w:type="auto"/>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汞</w:t>
            </w:r>
          </w:p>
        </w:tc>
        <w:tc>
          <w:tcPr>
            <w:tcW w:w="0" w:type="auto"/>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0.025</w:t>
            </w:r>
          </w:p>
        </w:tc>
        <w:tc>
          <w:tcPr>
            <w:tcW w:w="0" w:type="auto"/>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0.017-0.035</w:t>
            </w:r>
          </w:p>
        </w:tc>
        <w:tc>
          <w:tcPr>
            <w:tcW w:w="0" w:type="auto"/>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r>
    </w:tbl>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 xml:space="preserve">4  </w:t>
      </w:r>
      <w:r>
        <w:rPr>
          <w:rFonts w:hint="default" w:ascii="Times New Roman" w:hAnsi="Times New Roman" w:eastAsia="宋体" w:cs="Times New Roman"/>
          <w:b/>
          <w:bCs/>
          <w:color w:val="auto"/>
        </w:rPr>
        <w:t>重金属加标</w:t>
      </w:r>
      <w:r>
        <w:rPr>
          <w:rFonts w:hint="default" w:ascii="Times New Roman" w:hAnsi="Times New Roman" w:eastAsia="宋体" w:cs="Times New Roman"/>
          <w:b/>
          <w:bCs/>
          <w:color w:val="auto"/>
          <w:lang w:eastAsia="zh-CN"/>
        </w:rPr>
        <w:t>平行样</w:t>
      </w:r>
      <w:r>
        <w:rPr>
          <w:rFonts w:hint="default" w:ascii="Times New Roman" w:hAnsi="Times New Roman" w:eastAsia="宋体" w:cs="Times New Roman"/>
          <w:b/>
          <w:bCs/>
          <w:color w:val="auto"/>
        </w:rPr>
        <w:t>质控结果统计表</w:t>
      </w:r>
    </w:p>
    <w:tbl>
      <w:tblPr>
        <w:tblStyle w:val="17"/>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836"/>
        <w:gridCol w:w="1427"/>
        <w:gridCol w:w="2132"/>
        <w:gridCol w:w="1412"/>
        <w:gridCol w:w="1367"/>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1" w:type="dxa"/>
            <w:gridSpan w:val="2"/>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因子</w:t>
            </w:r>
          </w:p>
        </w:tc>
        <w:tc>
          <w:tcPr>
            <w:tcW w:w="1427"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加标</w:t>
            </w:r>
            <w:r>
              <w:rPr>
                <w:rFonts w:hint="default" w:ascii="Times New Roman" w:hAnsi="Times New Roman" w:eastAsia="宋体" w:cs="Times New Roman"/>
                <w:b/>
                <w:bCs/>
                <w:color w:val="auto"/>
                <w:sz w:val="21"/>
                <w:szCs w:val="21"/>
                <w:lang w:eastAsia="zh-CN"/>
              </w:rPr>
              <w:t>样品</w:t>
            </w:r>
            <w:r>
              <w:rPr>
                <w:rFonts w:hint="default" w:ascii="Times New Roman" w:hAnsi="Times New Roman" w:eastAsia="宋体" w:cs="Times New Roman"/>
                <w:b/>
                <w:bCs/>
                <w:color w:val="auto"/>
                <w:sz w:val="21"/>
                <w:szCs w:val="21"/>
              </w:rPr>
              <w:t>回收率%</w:t>
            </w:r>
          </w:p>
        </w:tc>
        <w:tc>
          <w:tcPr>
            <w:tcW w:w="2132"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加标平行样品回收率</w:t>
            </w:r>
            <w:r>
              <w:rPr>
                <w:rFonts w:hint="default" w:ascii="Times New Roman" w:hAnsi="Times New Roman" w:eastAsia="宋体" w:cs="Times New Roman"/>
                <w:b/>
                <w:bCs/>
                <w:color w:val="auto"/>
                <w:sz w:val="21"/>
                <w:szCs w:val="21"/>
                <w:lang w:val="en-US" w:eastAsia="zh-CN"/>
              </w:rPr>
              <w:t>%</w:t>
            </w:r>
          </w:p>
        </w:tc>
        <w:tc>
          <w:tcPr>
            <w:tcW w:w="1412"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相对偏差</w:t>
            </w:r>
            <w:r>
              <w:rPr>
                <w:rFonts w:hint="default" w:ascii="Times New Roman" w:hAnsi="Times New Roman" w:eastAsia="宋体" w:cs="Times New Roman"/>
                <w:b/>
                <w:bCs/>
                <w:color w:val="auto"/>
                <w:sz w:val="21"/>
                <w:szCs w:val="21"/>
                <w:lang w:val="en-US" w:eastAsia="zh-CN"/>
              </w:rPr>
              <w:t>%</w:t>
            </w:r>
          </w:p>
        </w:tc>
        <w:tc>
          <w:tcPr>
            <w:tcW w:w="1367"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相对偏差</w:t>
            </w:r>
            <w:r>
              <w:rPr>
                <w:rFonts w:hint="default" w:ascii="Times New Roman" w:hAnsi="Times New Roman" w:eastAsia="宋体" w:cs="Times New Roman"/>
                <w:b/>
                <w:bCs/>
                <w:color w:val="auto"/>
                <w:sz w:val="21"/>
                <w:szCs w:val="21"/>
              </w:rPr>
              <w:t>控制范围%</w:t>
            </w:r>
          </w:p>
        </w:tc>
        <w:tc>
          <w:tcPr>
            <w:tcW w:w="777"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gridSpan w:val="2"/>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铅</w:t>
            </w:r>
          </w:p>
        </w:tc>
        <w:tc>
          <w:tcPr>
            <w:tcW w:w="1427"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2132"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106</w:t>
            </w:r>
          </w:p>
        </w:tc>
        <w:tc>
          <w:tcPr>
            <w:tcW w:w="1412"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367"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w:t>
            </w:r>
          </w:p>
        </w:tc>
        <w:tc>
          <w:tcPr>
            <w:tcW w:w="777" w:type="dxa"/>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Merge w:val="restart"/>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镉</w:t>
            </w:r>
          </w:p>
        </w:tc>
        <w:tc>
          <w:tcPr>
            <w:tcW w:w="836" w:type="dxa"/>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S1-0.5</w:t>
            </w:r>
          </w:p>
        </w:tc>
        <w:tc>
          <w:tcPr>
            <w:tcW w:w="1427" w:type="dxa"/>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w:t>
            </w:r>
          </w:p>
        </w:tc>
        <w:tc>
          <w:tcPr>
            <w:tcW w:w="0" w:type="auto"/>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104</w:t>
            </w:r>
          </w:p>
        </w:tc>
        <w:tc>
          <w:tcPr>
            <w:tcW w:w="0" w:type="auto"/>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0" w:type="auto"/>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w:t>
            </w:r>
          </w:p>
        </w:tc>
        <w:tc>
          <w:tcPr>
            <w:tcW w:w="0" w:type="auto"/>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Merge w:val="continue"/>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836" w:type="dxa"/>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S5-0.5</w:t>
            </w:r>
          </w:p>
        </w:tc>
        <w:tc>
          <w:tcPr>
            <w:tcW w:w="1427" w:type="dxa"/>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w:t>
            </w:r>
          </w:p>
        </w:tc>
        <w:tc>
          <w:tcPr>
            <w:tcW w:w="0" w:type="auto"/>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115</w:t>
            </w:r>
          </w:p>
        </w:tc>
        <w:tc>
          <w:tcPr>
            <w:tcW w:w="0" w:type="auto"/>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0" w:type="auto"/>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w:t>
            </w:r>
          </w:p>
        </w:tc>
        <w:tc>
          <w:tcPr>
            <w:tcW w:w="0" w:type="auto"/>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表5.2-5  </w:t>
      </w:r>
      <w:r>
        <w:rPr>
          <w:rFonts w:hint="default" w:ascii="Times New Roman" w:hAnsi="Times New Roman" w:eastAsia="宋体" w:cs="Times New Roman"/>
          <w:b/>
          <w:bCs/>
          <w:color w:val="auto"/>
        </w:rPr>
        <w:t>重金属</w:t>
      </w:r>
      <w:r>
        <w:rPr>
          <w:rFonts w:hint="default" w:ascii="Times New Roman" w:hAnsi="Times New Roman" w:eastAsia="宋体" w:cs="Times New Roman"/>
          <w:b/>
          <w:bCs/>
          <w:color w:val="auto"/>
          <w:lang w:val="en-US" w:eastAsia="zh-CN"/>
        </w:rPr>
        <w:t>平行样质控结果统计表</w:t>
      </w:r>
    </w:p>
    <w:tbl>
      <w:tblPr>
        <w:tblStyle w:val="17"/>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698"/>
        <w:gridCol w:w="1246"/>
        <w:gridCol w:w="1304"/>
        <w:gridCol w:w="1293"/>
        <w:gridCol w:w="1326"/>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68"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p>
        </w:tc>
        <w:tc>
          <w:tcPr>
            <w:tcW w:w="698"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因子</w:t>
            </w:r>
          </w:p>
        </w:tc>
        <w:tc>
          <w:tcPr>
            <w:tcW w:w="1246"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样品结果</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mg/kg</w:t>
            </w:r>
            <w:r>
              <w:rPr>
                <w:rFonts w:hint="default" w:ascii="Times New Roman" w:hAnsi="Times New Roman" w:eastAsia="宋体" w:cs="Times New Roman"/>
                <w:b/>
                <w:bCs/>
                <w:color w:val="auto"/>
                <w:sz w:val="21"/>
                <w:szCs w:val="21"/>
                <w:lang w:eastAsia="zh-CN"/>
              </w:rPr>
              <w:t>）</w:t>
            </w:r>
          </w:p>
        </w:tc>
        <w:tc>
          <w:tcPr>
            <w:tcW w:w="1304"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平行样品结果（</w:t>
            </w:r>
            <w:r>
              <w:rPr>
                <w:rFonts w:hint="default" w:ascii="Times New Roman" w:hAnsi="Times New Roman" w:eastAsia="宋体" w:cs="Times New Roman"/>
                <w:b/>
                <w:bCs/>
                <w:color w:val="auto"/>
                <w:sz w:val="21"/>
                <w:szCs w:val="21"/>
              </w:rPr>
              <w:t>mg/kg</w:t>
            </w:r>
            <w:r>
              <w:rPr>
                <w:rFonts w:hint="default" w:ascii="Times New Roman" w:hAnsi="Times New Roman" w:eastAsia="宋体" w:cs="Times New Roman"/>
                <w:b/>
                <w:bCs/>
                <w:color w:val="auto"/>
                <w:sz w:val="21"/>
                <w:szCs w:val="21"/>
                <w:lang w:eastAsia="zh-CN"/>
              </w:rPr>
              <w:t>）</w:t>
            </w:r>
          </w:p>
        </w:tc>
        <w:tc>
          <w:tcPr>
            <w:tcW w:w="1293"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相对偏差%</w:t>
            </w:r>
          </w:p>
        </w:tc>
        <w:tc>
          <w:tcPr>
            <w:tcW w:w="1326"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控制范围%</w:t>
            </w:r>
          </w:p>
        </w:tc>
        <w:tc>
          <w:tcPr>
            <w:tcW w:w="1489"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restart"/>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S1-0.5</w:t>
            </w:r>
          </w:p>
        </w:tc>
        <w:tc>
          <w:tcPr>
            <w:tcW w:w="69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铜</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33.4</w:t>
            </w:r>
          </w:p>
        </w:tc>
        <w:tc>
          <w:tcPr>
            <w:tcW w:w="1304"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33.3</w:t>
            </w:r>
          </w:p>
        </w:tc>
        <w:tc>
          <w:tcPr>
            <w:tcW w:w="129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w:t>
            </w:r>
          </w:p>
        </w:tc>
        <w:tc>
          <w:tcPr>
            <w:tcW w:w="132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0～15</w:t>
            </w:r>
          </w:p>
        </w:tc>
        <w:tc>
          <w:tcPr>
            <w:tcW w:w="1489" w:type="dxa"/>
            <w:noWrap w:val="0"/>
            <w:vAlign w:val="center"/>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镍</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20</w:t>
            </w:r>
          </w:p>
        </w:tc>
        <w:tc>
          <w:tcPr>
            <w:tcW w:w="1304"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21</w:t>
            </w:r>
          </w:p>
        </w:tc>
        <w:tc>
          <w:tcPr>
            <w:tcW w:w="129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w:t>
            </w:r>
          </w:p>
        </w:tc>
        <w:tc>
          <w:tcPr>
            <w:tcW w:w="132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0～20</w:t>
            </w:r>
          </w:p>
        </w:tc>
        <w:tc>
          <w:tcPr>
            <w:tcW w:w="1489" w:type="dxa"/>
            <w:noWrap w:val="0"/>
            <w:vAlign w:val="center"/>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锌</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77</w:t>
            </w:r>
          </w:p>
        </w:tc>
        <w:tc>
          <w:tcPr>
            <w:tcW w:w="1304"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76</w:t>
            </w:r>
          </w:p>
        </w:tc>
        <w:tc>
          <w:tcPr>
            <w:tcW w:w="129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w:t>
            </w:r>
          </w:p>
        </w:tc>
        <w:tc>
          <w:tcPr>
            <w:tcW w:w="132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0～15</w:t>
            </w:r>
          </w:p>
        </w:tc>
        <w:tc>
          <w:tcPr>
            <w:tcW w:w="1489" w:type="dxa"/>
            <w:noWrap w:val="0"/>
            <w:vAlign w:val="center"/>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铅</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9</w:t>
            </w:r>
          </w:p>
        </w:tc>
        <w:tc>
          <w:tcPr>
            <w:tcW w:w="1304"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9</w:t>
            </w:r>
          </w:p>
        </w:tc>
        <w:tc>
          <w:tcPr>
            <w:tcW w:w="129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w:t>
            </w:r>
          </w:p>
        </w:tc>
        <w:tc>
          <w:tcPr>
            <w:tcW w:w="132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0～20</w:t>
            </w:r>
          </w:p>
        </w:tc>
        <w:tc>
          <w:tcPr>
            <w:tcW w:w="1489" w:type="dxa"/>
            <w:noWrap w:val="0"/>
            <w:vAlign w:val="center"/>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镉</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0.10</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9</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0～25</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砷</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5.01</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4.99</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0～15</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汞</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0.096</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0.094</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0～25</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restart"/>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S5-0.5</w:t>
            </w: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铜</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23.2</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22.9</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0～15</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镍</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25</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26</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0～20</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锌</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74</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71</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0～15</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铅</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14</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14</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0～20</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镉</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砷</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8.20</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8.23</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0～15</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c>
          <w:tcPr>
            <w:tcW w:w="69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汞</w:t>
            </w:r>
          </w:p>
        </w:tc>
        <w:tc>
          <w:tcPr>
            <w:tcW w:w="124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0.063</w:t>
            </w:r>
          </w:p>
        </w:tc>
        <w:tc>
          <w:tcPr>
            <w:tcW w:w="1304"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0.065</w:t>
            </w:r>
          </w:p>
        </w:tc>
        <w:tc>
          <w:tcPr>
            <w:tcW w:w="129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w:t>
            </w:r>
          </w:p>
        </w:tc>
        <w:tc>
          <w:tcPr>
            <w:tcW w:w="132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0～25</w:t>
            </w:r>
          </w:p>
        </w:tc>
        <w:tc>
          <w:tcPr>
            <w:tcW w:w="1489"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bl>
    <w:p>
      <w:pPr>
        <w:pStyle w:val="15"/>
        <w:pageBreakBefore w:val="0"/>
        <w:widowControl w:val="0"/>
        <w:kinsoku/>
        <w:wordWrap/>
        <w:overflowPunct/>
        <w:topLinePunct w:val="0"/>
        <w:bidi w:val="0"/>
        <w:spacing w:after="0" w:line="360" w:lineRule="auto"/>
        <w:ind w:firstLine="0" w:firstLineChars="0"/>
        <w:jc w:val="both"/>
        <w:rPr>
          <w:rFonts w:hint="default" w:ascii="Times New Roman" w:hAnsi="Times New Roman" w:eastAsia="宋体" w:cs="Times New Roman"/>
          <w:b/>
          <w:bCs/>
          <w:color w:val="auto"/>
          <w:sz w:val="18"/>
          <w:szCs w:val="18"/>
        </w:rPr>
      </w:pPr>
    </w:p>
    <w:p>
      <w:pPr>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挥发性有机物</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针对本场地内所采集样品中挥发性有机物分析项目，</w:t>
      </w:r>
      <w:r>
        <w:rPr>
          <w:rFonts w:hint="default" w:ascii="Times New Roman" w:hAnsi="Times New Roman" w:eastAsia="宋体" w:cs="Times New Roman"/>
          <w:color w:val="auto"/>
          <w:lang w:eastAsia="zh-CN"/>
        </w:rPr>
        <w:t>河北实朴检测技术服务</w:t>
      </w:r>
      <w:r>
        <w:rPr>
          <w:rFonts w:hint="default" w:ascii="Times New Roman" w:hAnsi="Times New Roman" w:eastAsia="宋体" w:cs="Times New Roman"/>
          <w:color w:val="auto"/>
        </w:rPr>
        <w:t>有限公司实验室共提供</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组加标回收率</w:t>
      </w:r>
      <w:r>
        <w:rPr>
          <w:rFonts w:hint="default" w:ascii="Times New Roman" w:hAnsi="Times New Roman" w:eastAsia="宋体" w:cs="Times New Roman"/>
          <w:color w:val="auto"/>
          <w:lang w:eastAsia="zh-CN"/>
        </w:rPr>
        <w:t>质控</w:t>
      </w:r>
      <w:r>
        <w:rPr>
          <w:rFonts w:hint="default" w:ascii="Times New Roman" w:hAnsi="Times New Roman" w:eastAsia="宋体" w:cs="Times New Roman"/>
          <w:color w:val="auto"/>
        </w:rPr>
        <w:t>结果、</w:t>
      </w:r>
      <w:r>
        <w:rPr>
          <w:rFonts w:hint="default" w:ascii="Times New Roman" w:hAnsi="Times New Roman" w:eastAsia="宋体" w:cs="Times New Roman"/>
          <w:color w:val="auto"/>
          <w:lang w:val="en-US" w:eastAsia="zh-CN"/>
        </w:rPr>
        <w:t>1组加标平行样和1</w:t>
      </w:r>
      <w:r>
        <w:rPr>
          <w:rFonts w:hint="default" w:ascii="Times New Roman" w:hAnsi="Times New Roman" w:eastAsia="宋体" w:cs="Times New Roman"/>
          <w:color w:val="auto"/>
        </w:rPr>
        <w:t>组平行样质控结果。各类质控结果均满足相应的实验室质量控制要求，统计结果详见表5.2-</w:t>
      </w:r>
      <w:r>
        <w:rPr>
          <w:rFonts w:hint="default" w:ascii="Times New Roman" w:hAnsi="Times New Roman" w:eastAsia="宋体" w:cs="Times New Roman"/>
          <w:color w:val="auto"/>
          <w:lang w:val="en-US" w:eastAsia="zh-CN"/>
        </w:rPr>
        <w:t>6、表</w:t>
      </w:r>
      <w:r>
        <w:rPr>
          <w:rFonts w:hint="default" w:ascii="Times New Roman" w:hAnsi="Times New Roman" w:eastAsia="宋体" w:cs="Times New Roman"/>
          <w:color w:val="auto"/>
        </w:rPr>
        <w:t>5.2-</w:t>
      </w:r>
      <w:r>
        <w:rPr>
          <w:rFonts w:hint="default" w:ascii="Times New Roman" w:hAnsi="Times New Roman" w:eastAsia="宋体" w:cs="Times New Roman"/>
          <w:color w:val="auto"/>
          <w:lang w:val="en-US" w:eastAsia="zh-CN"/>
        </w:rPr>
        <w:t>7和表5.2-8</w:t>
      </w:r>
      <w:r>
        <w:rPr>
          <w:rFonts w:hint="default" w:ascii="Times New Roman" w:hAnsi="Times New Roman" w:eastAsia="宋体" w:cs="Times New Roman"/>
          <w:color w:val="auto"/>
        </w:rPr>
        <w:t>。</w:t>
      </w:r>
    </w:p>
    <w:p>
      <w:pPr>
        <w:pageBreakBefore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 xml:space="preserve">6  </w:t>
      </w:r>
      <w:r>
        <w:rPr>
          <w:rFonts w:hint="default" w:ascii="Times New Roman" w:hAnsi="Times New Roman" w:eastAsia="宋体" w:cs="Times New Roman"/>
          <w:b/>
          <w:bCs/>
          <w:color w:val="auto"/>
        </w:rPr>
        <w:t>挥发性有机物加标回收率质控结果统计表</w:t>
      </w:r>
    </w:p>
    <w:tbl>
      <w:tblPr>
        <w:tblStyle w:val="16"/>
        <w:tblW w:w="4998" w:type="pct"/>
        <w:tblInd w:w="0" w:type="dxa"/>
        <w:shd w:val="clear" w:color="auto" w:fill="auto"/>
        <w:tblLayout w:type="autofit"/>
        <w:tblCellMar>
          <w:top w:w="0" w:type="dxa"/>
          <w:left w:w="0" w:type="dxa"/>
          <w:bottom w:w="0" w:type="dxa"/>
          <w:right w:w="0" w:type="dxa"/>
        </w:tblCellMar>
      </w:tblPr>
      <w:tblGrid>
        <w:gridCol w:w="1737"/>
        <w:gridCol w:w="1040"/>
        <w:gridCol w:w="1389"/>
        <w:gridCol w:w="1389"/>
        <w:gridCol w:w="1389"/>
        <w:gridCol w:w="1389"/>
      </w:tblGrid>
      <w:tr>
        <w:tblPrEx>
          <w:shd w:val="clear" w:color="auto" w:fill="auto"/>
          <w:tblCellMar>
            <w:top w:w="0" w:type="dxa"/>
            <w:left w:w="0" w:type="dxa"/>
            <w:bottom w:w="0" w:type="dxa"/>
            <w:right w:w="0" w:type="dxa"/>
          </w:tblCellMar>
        </w:tblPrEx>
        <w:trPr>
          <w:trHeight w:val="1065" w:hRule="atLeast"/>
          <w:tblHeader/>
        </w:trPr>
        <w:tc>
          <w:tcPr>
            <w:tcW w:w="1042"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因子</w:t>
            </w:r>
          </w:p>
        </w:tc>
        <w:tc>
          <w:tcPr>
            <w:tcW w:w="624"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检出限（μg/kg</w:t>
            </w:r>
            <w:r>
              <w:rPr>
                <w:rStyle w:val="29"/>
                <w:rFonts w:hint="default" w:ascii="Times New Roman" w:hAnsi="Times New Roman" w:cs="Times New Roman"/>
                <w:color w:val="auto"/>
                <w:lang w:val="en-US" w:eastAsia="zh-CN" w:bidi="ar"/>
              </w:rPr>
              <w:t>）</w:t>
            </w:r>
          </w:p>
        </w:tc>
        <w:tc>
          <w:tcPr>
            <w:tcW w:w="833"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空白样品浓度（μg/kg</w:t>
            </w:r>
            <w:r>
              <w:rPr>
                <w:rStyle w:val="29"/>
                <w:rFonts w:hint="default" w:ascii="Times New Roman" w:hAnsi="Times New Roman" w:cs="Times New Roman"/>
                <w:color w:val="auto"/>
                <w:lang w:val="en-US" w:eastAsia="zh-CN" w:bidi="ar"/>
              </w:rPr>
              <w:t>）</w:t>
            </w:r>
          </w:p>
        </w:tc>
        <w:tc>
          <w:tcPr>
            <w:tcW w:w="833"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加标回收率%</w:t>
            </w:r>
          </w:p>
        </w:tc>
        <w:tc>
          <w:tcPr>
            <w:tcW w:w="833"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控制范围%</w:t>
            </w:r>
          </w:p>
        </w:tc>
        <w:tc>
          <w:tcPr>
            <w:tcW w:w="833"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结论</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&lt;1.9</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115</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甲苯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114</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乙苯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间&amp;</w:t>
            </w:r>
            <w:r>
              <w:rPr>
                <w:rStyle w:val="30"/>
                <w:rFonts w:hint="default" w:ascii="Times New Roman" w:hAnsi="Times New Roman" w:cs="Times New Roman"/>
                <w:color w:val="auto"/>
                <w:lang w:val="en-US" w:eastAsia="zh-CN" w:bidi="ar"/>
              </w:rPr>
              <w:t>对</w:t>
            </w:r>
            <w:r>
              <w:rPr>
                <w:rStyle w:val="31"/>
                <w:rFonts w:hint="default" w:ascii="Times New Roman" w:hAnsi="Times New Roman" w:eastAsia="宋体" w:cs="Times New Roman"/>
                <w:color w:val="auto"/>
                <w:lang w:val="en-US" w:eastAsia="zh-CN" w:bidi="ar"/>
              </w:rPr>
              <w:t>-</w:t>
            </w:r>
            <w:r>
              <w:rPr>
                <w:rStyle w:val="30"/>
                <w:rFonts w:hint="default" w:ascii="Times New Roman" w:hAnsi="Times New Roman" w:cs="Times New Roman"/>
                <w:color w:val="auto"/>
                <w:lang w:val="en-US" w:eastAsia="zh-CN" w:bidi="ar"/>
              </w:rPr>
              <w:t>二甲苯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苯乙烯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邻二甲苯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75</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r>
              <w:rPr>
                <w:rStyle w:val="30"/>
                <w:rFonts w:hint="default" w:ascii="Times New Roman" w:hAnsi="Times New Roman" w:cs="Times New Roman"/>
                <w:color w:val="auto"/>
                <w:lang w:val="en-US" w:eastAsia="zh-CN" w:bidi="ar"/>
              </w:rPr>
              <w:t>二氯丙烷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氯甲烷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氯乙烯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99</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r>
              <w:rPr>
                <w:rStyle w:val="30"/>
                <w:rFonts w:hint="default" w:ascii="Times New Roman" w:hAnsi="Times New Roman" w:cs="Times New Roman"/>
                <w:color w:val="auto"/>
                <w:lang w:val="en-US" w:eastAsia="zh-CN" w:bidi="ar"/>
              </w:rPr>
              <w:t>二氯乙烯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二氯甲烷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&lt;1.5</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反-1,2-</w:t>
            </w:r>
            <w:r>
              <w:rPr>
                <w:rStyle w:val="30"/>
                <w:rFonts w:hint="default" w:ascii="Times New Roman" w:hAnsi="Times New Roman" w:cs="Times New Roman"/>
                <w:color w:val="auto"/>
                <w:lang w:val="en-US" w:eastAsia="zh-CN" w:bidi="ar"/>
              </w:rPr>
              <w:t>二氯乙烯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&lt;1.4</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107</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r>
              <w:rPr>
                <w:rStyle w:val="30"/>
                <w:rFonts w:hint="default" w:ascii="Times New Roman" w:hAnsi="Times New Roman" w:cs="Times New Roman"/>
                <w:color w:val="auto"/>
                <w:lang w:val="en-US" w:eastAsia="zh-CN" w:bidi="ar"/>
              </w:rPr>
              <w:t>二氯乙烷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顺-1,2-</w:t>
            </w:r>
            <w:r>
              <w:rPr>
                <w:rStyle w:val="30"/>
                <w:rFonts w:hint="default" w:ascii="Times New Roman" w:hAnsi="Times New Roman" w:cs="Times New Roman"/>
                <w:color w:val="auto"/>
                <w:lang w:val="en-US" w:eastAsia="zh-CN" w:bidi="ar"/>
              </w:rPr>
              <w:t>二氯乙烯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117</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1,1,1-</w:t>
            </w:r>
            <w:r>
              <w:rPr>
                <w:rStyle w:val="30"/>
                <w:rFonts w:hint="default" w:ascii="Times New Roman" w:hAnsi="Times New Roman" w:cs="Times New Roman"/>
                <w:color w:val="auto"/>
                <w:lang w:val="en-US" w:eastAsia="zh-CN" w:bidi="ar"/>
              </w:rPr>
              <w:t>三氯乙烷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84</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四氯化碳</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r>
              <w:rPr>
                <w:rStyle w:val="30"/>
                <w:rFonts w:hint="default" w:ascii="Times New Roman" w:hAnsi="Times New Roman" w:cs="Times New Roman"/>
                <w:color w:val="auto"/>
                <w:lang w:val="en-US" w:eastAsia="zh-CN" w:bidi="ar"/>
              </w:rPr>
              <w:t>二氯乙烷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86</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三氯乙烯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1,1,2-</w:t>
            </w:r>
            <w:r>
              <w:rPr>
                <w:rStyle w:val="30"/>
                <w:rFonts w:hint="default" w:ascii="Times New Roman" w:hAnsi="Times New Roman" w:cs="Times New Roman"/>
                <w:color w:val="auto"/>
                <w:lang w:val="en-US" w:eastAsia="zh-CN" w:bidi="ar"/>
              </w:rPr>
              <w:t>三氯乙烷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四氯乙烯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&lt;1.4</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104</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1,1,1,2-</w:t>
            </w:r>
            <w:r>
              <w:rPr>
                <w:rStyle w:val="30"/>
                <w:rFonts w:hint="default" w:ascii="Times New Roman" w:hAnsi="Times New Roman" w:cs="Times New Roman"/>
                <w:color w:val="auto"/>
                <w:lang w:val="en-US" w:eastAsia="zh-CN" w:bidi="ar"/>
              </w:rPr>
              <w:t>四氯乙烷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88</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1,1,2,2-</w:t>
            </w:r>
            <w:r>
              <w:rPr>
                <w:rStyle w:val="30"/>
                <w:rFonts w:hint="default" w:ascii="Times New Roman" w:hAnsi="Times New Roman" w:cs="Times New Roman"/>
                <w:color w:val="auto"/>
                <w:lang w:val="en-US" w:eastAsia="zh-CN" w:bidi="ar"/>
              </w:rPr>
              <w:t>四氯乙烷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124</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1,2,3-</w:t>
            </w:r>
            <w:r>
              <w:rPr>
                <w:rStyle w:val="30"/>
                <w:rFonts w:hint="default" w:ascii="Times New Roman" w:hAnsi="Times New Roman" w:cs="Times New Roman"/>
                <w:color w:val="auto"/>
                <w:lang w:val="en-US" w:eastAsia="zh-CN" w:bidi="ar"/>
              </w:rPr>
              <w:t>三氯丙烷</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115</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&lt;1.2</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73</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r>
              <w:rPr>
                <w:rStyle w:val="30"/>
                <w:rFonts w:hint="default" w:ascii="Times New Roman" w:hAnsi="Times New Roman" w:cs="Times New Roman"/>
                <w:color w:val="auto"/>
                <w:lang w:val="en-US" w:eastAsia="zh-CN" w:bidi="ar"/>
              </w:rPr>
              <w:t>二氯苯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&lt;1.5</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540"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r>
              <w:rPr>
                <w:rStyle w:val="30"/>
                <w:rFonts w:hint="default" w:ascii="Times New Roman" w:hAnsi="Times New Roman" w:cs="Times New Roman"/>
                <w:color w:val="auto"/>
                <w:lang w:val="en-US" w:eastAsia="zh-CN" w:bidi="ar"/>
              </w:rPr>
              <w:t>二氯苯</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&lt;1.5</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94</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r>
        <w:tblPrEx>
          <w:shd w:val="clear" w:color="auto" w:fill="auto"/>
          <w:tblCellMar>
            <w:top w:w="0" w:type="dxa"/>
            <w:left w:w="0" w:type="dxa"/>
            <w:bottom w:w="0" w:type="dxa"/>
            <w:right w:w="0" w:type="dxa"/>
          </w:tblCellMar>
        </w:tblPrEx>
        <w:trPr>
          <w:trHeight w:val="285" w:hRule="atLeast"/>
        </w:trPr>
        <w:tc>
          <w:tcPr>
            <w:tcW w:w="104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氯仿</w:t>
            </w:r>
          </w:p>
        </w:tc>
        <w:tc>
          <w:tcPr>
            <w:tcW w:w="62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&lt;1.1</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86</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70-130</w:t>
            </w:r>
          </w:p>
        </w:tc>
        <w:tc>
          <w:tcPr>
            <w:tcW w:w="83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bottom"/>
              <w:rPr>
                <w:rFonts w:hint="default" w:ascii="Times New Roman" w:hAnsi="Times New Roman"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符合</w:t>
            </w:r>
          </w:p>
        </w:tc>
      </w:tr>
    </w:tbl>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 xml:space="preserve">7  </w:t>
      </w:r>
      <w:r>
        <w:rPr>
          <w:rFonts w:hint="default" w:ascii="Times New Roman" w:hAnsi="Times New Roman" w:eastAsia="宋体" w:cs="Times New Roman"/>
          <w:b/>
          <w:bCs/>
          <w:color w:val="auto"/>
        </w:rPr>
        <w:t>挥发性有机物</w:t>
      </w:r>
      <w:r>
        <w:rPr>
          <w:rFonts w:hint="default" w:ascii="Times New Roman" w:hAnsi="Times New Roman" w:eastAsia="宋体" w:cs="Times New Roman"/>
          <w:b/>
          <w:bCs/>
          <w:color w:val="auto"/>
          <w:lang w:eastAsia="zh-CN"/>
        </w:rPr>
        <w:t>加标</w:t>
      </w:r>
      <w:r>
        <w:rPr>
          <w:rFonts w:hint="default" w:ascii="Times New Roman" w:hAnsi="Times New Roman" w:eastAsia="宋体" w:cs="Times New Roman"/>
          <w:b/>
          <w:bCs/>
          <w:color w:val="auto"/>
        </w:rPr>
        <w:t>平行样质控结果统计表</w:t>
      </w:r>
    </w:p>
    <w:tbl>
      <w:tblPr>
        <w:tblStyle w:val="17"/>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385"/>
        <w:gridCol w:w="1438"/>
        <w:gridCol w:w="1255"/>
        <w:gridCol w:w="2218"/>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3"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因子</w:t>
            </w:r>
          </w:p>
        </w:tc>
        <w:tc>
          <w:tcPr>
            <w:tcW w:w="1385"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加标</w:t>
            </w:r>
            <w:r>
              <w:rPr>
                <w:rFonts w:hint="default" w:ascii="Times New Roman" w:hAnsi="Times New Roman" w:eastAsia="宋体" w:cs="Times New Roman"/>
                <w:b/>
                <w:bCs/>
                <w:color w:val="auto"/>
                <w:sz w:val="21"/>
                <w:szCs w:val="21"/>
                <w:lang w:eastAsia="zh-CN"/>
              </w:rPr>
              <w:t>样品</w:t>
            </w:r>
            <w:r>
              <w:rPr>
                <w:rFonts w:hint="default" w:ascii="Times New Roman" w:hAnsi="Times New Roman" w:eastAsia="宋体" w:cs="Times New Roman"/>
                <w:b/>
                <w:bCs/>
                <w:color w:val="auto"/>
                <w:sz w:val="21"/>
                <w:szCs w:val="21"/>
              </w:rPr>
              <w:t>回收率%</w:t>
            </w:r>
          </w:p>
        </w:tc>
        <w:tc>
          <w:tcPr>
            <w:tcW w:w="1438"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加标平行样品回收率</w:t>
            </w:r>
            <w:r>
              <w:rPr>
                <w:rFonts w:hint="default" w:ascii="Times New Roman" w:hAnsi="Times New Roman" w:eastAsia="宋体" w:cs="Times New Roman"/>
                <w:b/>
                <w:bCs/>
                <w:color w:val="auto"/>
                <w:sz w:val="21"/>
                <w:szCs w:val="21"/>
                <w:lang w:val="en-US" w:eastAsia="zh-CN"/>
              </w:rPr>
              <w:t>%</w:t>
            </w:r>
          </w:p>
        </w:tc>
        <w:tc>
          <w:tcPr>
            <w:tcW w:w="1255"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相对偏差</w:t>
            </w:r>
            <w:r>
              <w:rPr>
                <w:rFonts w:hint="default" w:ascii="Times New Roman" w:hAnsi="Times New Roman" w:eastAsia="宋体" w:cs="Times New Roman"/>
                <w:b/>
                <w:bCs/>
                <w:color w:val="auto"/>
                <w:sz w:val="21"/>
                <w:szCs w:val="21"/>
                <w:lang w:val="en-US" w:eastAsia="zh-CN"/>
              </w:rPr>
              <w:t>%</w:t>
            </w:r>
          </w:p>
        </w:tc>
        <w:tc>
          <w:tcPr>
            <w:tcW w:w="2218"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相对偏差</w:t>
            </w:r>
            <w:r>
              <w:rPr>
                <w:rFonts w:hint="default" w:ascii="Times New Roman" w:hAnsi="Times New Roman" w:eastAsia="宋体" w:cs="Times New Roman"/>
                <w:b/>
                <w:bCs/>
                <w:color w:val="auto"/>
                <w:sz w:val="21"/>
                <w:szCs w:val="21"/>
              </w:rPr>
              <w:t>控制范围%</w:t>
            </w:r>
          </w:p>
        </w:tc>
        <w:tc>
          <w:tcPr>
            <w:tcW w:w="777"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w:t>
            </w:r>
          </w:p>
        </w:tc>
        <w:tc>
          <w:tcPr>
            <w:tcW w:w="138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107</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106</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w:t>
            </w:r>
          </w:p>
        </w:tc>
        <w:tc>
          <w:tcPr>
            <w:tcW w:w="221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777"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甲苯</w:t>
            </w:r>
          </w:p>
        </w:tc>
        <w:tc>
          <w:tcPr>
            <w:tcW w:w="1385"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110</w:t>
            </w:r>
          </w:p>
        </w:tc>
        <w:tc>
          <w:tcPr>
            <w:tcW w:w="143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117</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w:t>
            </w:r>
          </w:p>
        </w:tc>
        <w:tc>
          <w:tcPr>
            <w:tcW w:w="221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0" w:type="auto"/>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1,1-二氯乙烯</w:t>
            </w:r>
          </w:p>
        </w:tc>
        <w:tc>
          <w:tcPr>
            <w:tcW w:w="1385"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82</w:t>
            </w:r>
          </w:p>
        </w:tc>
        <w:tc>
          <w:tcPr>
            <w:tcW w:w="143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85</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w:t>
            </w:r>
          </w:p>
        </w:tc>
        <w:tc>
          <w:tcPr>
            <w:tcW w:w="221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0" w:type="auto"/>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三氯乙烯</w:t>
            </w:r>
          </w:p>
        </w:tc>
        <w:tc>
          <w:tcPr>
            <w:tcW w:w="1385"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92</w:t>
            </w:r>
          </w:p>
        </w:tc>
        <w:tc>
          <w:tcPr>
            <w:tcW w:w="143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100</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4</w:t>
            </w:r>
          </w:p>
        </w:tc>
        <w:tc>
          <w:tcPr>
            <w:tcW w:w="221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0" w:type="auto"/>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氯苯</w:t>
            </w:r>
          </w:p>
        </w:tc>
        <w:tc>
          <w:tcPr>
            <w:tcW w:w="1385"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98</w:t>
            </w:r>
          </w:p>
        </w:tc>
        <w:tc>
          <w:tcPr>
            <w:tcW w:w="143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95</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w:t>
            </w:r>
          </w:p>
        </w:tc>
        <w:tc>
          <w:tcPr>
            <w:tcW w:w="221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0" w:type="auto"/>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lang w:val="en-US" w:eastAsia="zh-CN"/>
        </w:rPr>
      </w:pPr>
    </w:p>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lang w:val="en-US" w:eastAsia="zh-CN"/>
        </w:rPr>
      </w:pPr>
    </w:p>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lang w:val="en-US" w:eastAsia="zh-CN"/>
        </w:rPr>
      </w:pPr>
    </w:p>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表5.2-8  </w:t>
      </w:r>
      <w:r>
        <w:rPr>
          <w:rFonts w:hint="default" w:ascii="Times New Roman" w:hAnsi="Times New Roman" w:eastAsia="宋体" w:cs="Times New Roman"/>
          <w:b/>
          <w:bCs/>
          <w:color w:val="auto"/>
        </w:rPr>
        <w:t>挥发性有机物</w:t>
      </w:r>
      <w:r>
        <w:rPr>
          <w:rFonts w:hint="default" w:ascii="Times New Roman" w:hAnsi="Times New Roman" w:eastAsia="宋体" w:cs="Times New Roman"/>
          <w:b/>
          <w:bCs/>
          <w:color w:val="auto"/>
          <w:lang w:val="en-US" w:eastAsia="zh-CN"/>
        </w:rPr>
        <w:t>平行样质控结果统计表</w:t>
      </w:r>
    </w:p>
    <w:tbl>
      <w:tblPr>
        <w:tblStyle w:val="17"/>
        <w:tblW w:w="84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909"/>
        <w:gridCol w:w="1391"/>
        <w:gridCol w:w="1186"/>
        <w:gridCol w:w="1500"/>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399"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因子</w:t>
            </w:r>
          </w:p>
        </w:tc>
        <w:tc>
          <w:tcPr>
            <w:tcW w:w="1909"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样品结果</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μg/kg</w:t>
            </w:r>
            <w:r>
              <w:rPr>
                <w:rFonts w:hint="default" w:ascii="Times New Roman" w:hAnsi="Times New Roman" w:eastAsia="宋体" w:cs="Times New Roman"/>
                <w:b/>
                <w:bCs/>
                <w:color w:val="auto"/>
                <w:sz w:val="21"/>
                <w:szCs w:val="21"/>
                <w:lang w:eastAsia="zh-CN"/>
              </w:rPr>
              <w:t>）</w:t>
            </w:r>
          </w:p>
        </w:tc>
        <w:tc>
          <w:tcPr>
            <w:tcW w:w="1391"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平行样品结果（μg/kg）</w:t>
            </w:r>
          </w:p>
        </w:tc>
        <w:tc>
          <w:tcPr>
            <w:tcW w:w="1186"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相对偏差%</w:t>
            </w:r>
          </w:p>
        </w:tc>
        <w:tc>
          <w:tcPr>
            <w:tcW w:w="1500"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控制范围%</w:t>
            </w:r>
          </w:p>
        </w:tc>
        <w:tc>
          <w:tcPr>
            <w:tcW w:w="1112"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399"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氯苯</w:t>
            </w:r>
          </w:p>
        </w:tc>
        <w:tc>
          <w:tcPr>
            <w:tcW w:w="1909"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656</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419</w:t>
            </w:r>
          </w:p>
        </w:tc>
        <w:tc>
          <w:tcPr>
            <w:tcW w:w="118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22</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1112" w:type="dxa"/>
            <w:noWrap w:val="0"/>
            <w:vAlign w:val="center"/>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399"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1,4-二氯苯</w:t>
            </w:r>
          </w:p>
        </w:tc>
        <w:tc>
          <w:tcPr>
            <w:tcW w:w="1909"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259</w:t>
            </w:r>
          </w:p>
        </w:tc>
        <w:tc>
          <w:tcPr>
            <w:tcW w:w="1391"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212</w:t>
            </w:r>
          </w:p>
        </w:tc>
        <w:tc>
          <w:tcPr>
            <w:tcW w:w="1186"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1112" w:type="dxa"/>
            <w:noWrap w:val="0"/>
            <w:vAlign w:val="center"/>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399"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1,2-二氯苯</w:t>
            </w:r>
          </w:p>
        </w:tc>
        <w:tc>
          <w:tcPr>
            <w:tcW w:w="1909"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297</w:t>
            </w:r>
          </w:p>
        </w:tc>
        <w:tc>
          <w:tcPr>
            <w:tcW w:w="1391"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244</w:t>
            </w:r>
          </w:p>
        </w:tc>
        <w:tc>
          <w:tcPr>
            <w:tcW w:w="1186"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w:t>
            </w:r>
          </w:p>
        </w:tc>
        <w:tc>
          <w:tcPr>
            <w:tcW w:w="1500"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1112" w:type="dxa"/>
          </w:tcPr>
          <w:p>
            <w:pPr>
              <w:keepNext w:val="0"/>
              <w:keepLines w:val="0"/>
              <w:pageBreakBefore w:val="0"/>
              <w:widowControl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bl>
    <w:p>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半挥发性有机物</w:t>
      </w:r>
    </w:p>
    <w:p>
      <w:pPr>
        <w:pageBreakBefore w:val="0"/>
        <w:kinsoku/>
        <w:wordWrap/>
        <w:overflowPunct/>
        <w:topLinePunct w:val="0"/>
        <w:bidi w:val="0"/>
        <w:spacing w:line="360" w:lineRule="auto"/>
        <w:ind w:firstLine="480"/>
        <w:rPr>
          <w:rFonts w:hint="default" w:ascii="Times New Roman" w:hAnsi="Times New Roman" w:eastAsia="宋体" w:cs="Times New Roman"/>
          <w:b/>
          <w:bCs/>
          <w:color w:val="auto"/>
        </w:rPr>
      </w:pPr>
      <w:r>
        <w:rPr>
          <w:rFonts w:hint="default" w:ascii="Times New Roman" w:hAnsi="Times New Roman" w:eastAsia="宋体" w:cs="Times New Roman"/>
          <w:color w:val="auto"/>
        </w:rPr>
        <w:t>针对本场地内所采集样品中半挥发性有机物分析项目，</w:t>
      </w:r>
      <w:r>
        <w:rPr>
          <w:rFonts w:hint="default" w:ascii="Times New Roman" w:hAnsi="Times New Roman" w:eastAsia="宋体" w:cs="Times New Roman"/>
          <w:color w:val="auto"/>
          <w:lang w:eastAsia="zh-CN"/>
        </w:rPr>
        <w:t>河北实朴</w:t>
      </w:r>
      <w:r>
        <w:rPr>
          <w:rFonts w:hint="default" w:ascii="Times New Roman" w:hAnsi="Times New Roman" w:eastAsia="宋体" w:cs="Times New Roman"/>
          <w:color w:val="auto"/>
        </w:rPr>
        <w:t>检测技术</w:t>
      </w:r>
      <w:r>
        <w:rPr>
          <w:rFonts w:hint="default" w:ascii="Times New Roman" w:hAnsi="Times New Roman" w:eastAsia="宋体" w:cs="Times New Roman"/>
          <w:color w:val="auto"/>
          <w:lang w:eastAsia="zh-CN"/>
        </w:rPr>
        <w:t>服务</w:t>
      </w:r>
      <w:r>
        <w:rPr>
          <w:rFonts w:hint="default" w:ascii="Times New Roman" w:hAnsi="Times New Roman" w:eastAsia="宋体" w:cs="Times New Roman"/>
          <w:color w:val="auto"/>
        </w:rPr>
        <w:t>有限公司实验室共提供</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w:t>
      </w:r>
      <w:r>
        <w:rPr>
          <w:rFonts w:hint="default" w:ascii="Times New Roman" w:hAnsi="Times New Roman" w:eastAsia="宋体" w:cs="Times New Roman"/>
          <w:color w:val="auto"/>
          <w:lang w:eastAsia="zh-CN"/>
        </w:rPr>
        <w:t>实验室基体</w:t>
      </w:r>
      <w:r>
        <w:rPr>
          <w:rFonts w:hint="default" w:ascii="Times New Roman" w:hAnsi="Times New Roman" w:eastAsia="宋体" w:cs="Times New Roman"/>
          <w:color w:val="auto"/>
        </w:rPr>
        <w:t>加标回收率</w:t>
      </w:r>
      <w:r>
        <w:rPr>
          <w:rFonts w:hint="default" w:ascii="Times New Roman" w:hAnsi="Times New Roman" w:eastAsia="宋体" w:cs="Times New Roman"/>
          <w:color w:val="auto"/>
          <w:lang w:eastAsia="zh-CN"/>
        </w:rPr>
        <w:t>质控</w:t>
      </w:r>
      <w:r>
        <w:rPr>
          <w:rFonts w:hint="default" w:ascii="Times New Roman" w:hAnsi="Times New Roman" w:eastAsia="宋体" w:cs="Times New Roman"/>
          <w:color w:val="auto"/>
        </w:rPr>
        <w:t>结果</w:t>
      </w:r>
      <w:r>
        <w:rPr>
          <w:rFonts w:hint="default" w:ascii="Times New Roman" w:hAnsi="Times New Roman" w:eastAsia="宋体" w:cs="Times New Roman"/>
          <w:color w:val="auto"/>
          <w:lang w:eastAsia="zh-CN"/>
        </w:rPr>
        <w:t>和</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组平行质控样质控结果。各类质控结果均满足相应的实验室质量控制要求，统计结果详见表5.2-</w:t>
      </w:r>
      <w:r>
        <w:rPr>
          <w:rFonts w:hint="default" w:ascii="Times New Roman" w:hAnsi="Times New Roman" w:eastAsia="宋体" w:cs="Times New Roman"/>
          <w:color w:val="auto"/>
          <w:lang w:val="en-US" w:eastAsia="zh-CN"/>
        </w:rPr>
        <w:t>9和</w:t>
      </w:r>
      <w:r>
        <w:rPr>
          <w:rFonts w:hint="default" w:ascii="Times New Roman" w:hAnsi="Times New Roman" w:eastAsia="宋体" w:cs="Times New Roman"/>
          <w:color w:val="auto"/>
        </w:rPr>
        <w:t>5.2-</w:t>
      </w:r>
      <w:r>
        <w:rPr>
          <w:rFonts w:hint="default" w:ascii="Times New Roman" w:hAnsi="Times New Roman" w:eastAsia="宋体" w:cs="Times New Roman"/>
          <w:color w:val="auto"/>
          <w:lang w:val="en-US" w:eastAsia="zh-CN"/>
        </w:rPr>
        <w:t>10。</w:t>
      </w:r>
    </w:p>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 xml:space="preserve">9  </w:t>
      </w:r>
      <w:r>
        <w:rPr>
          <w:rFonts w:hint="default" w:ascii="Times New Roman" w:hAnsi="Times New Roman" w:eastAsia="宋体" w:cs="Times New Roman"/>
          <w:b/>
          <w:bCs/>
          <w:color w:val="auto"/>
        </w:rPr>
        <w:t>半挥发性有机物实验室基体加标回收质控结果统计表</w:t>
      </w:r>
    </w:p>
    <w:tbl>
      <w:tblPr>
        <w:tblStyle w:val="17"/>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331"/>
        <w:gridCol w:w="1888"/>
        <w:gridCol w:w="1267"/>
        <w:gridCol w:w="111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blHeader/>
          <w:jc w:val="center"/>
        </w:trPr>
        <w:tc>
          <w:tcPr>
            <w:tcW w:w="180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left="0" w:leftChars="0"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因子</w:t>
            </w:r>
          </w:p>
        </w:tc>
        <w:tc>
          <w:tcPr>
            <w:tcW w:w="1331"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检出限（mg/kg）</w:t>
            </w:r>
          </w:p>
        </w:tc>
        <w:tc>
          <w:tcPr>
            <w:tcW w:w="1888"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空白样品浓度（mg/kg）</w:t>
            </w:r>
          </w:p>
        </w:tc>
        <w:tc>
          <w:tcPr>
            <w:tcW w:w="1267"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sz w:val="21"/>
                <w:szCs w:val="21"/>
              </w:rPr>
              <w:t>加标回收率%</w:t>
            </w:r>
          </w:p>
        </w:tc>
        <w:tc>
          <w:tcPr>
            <w:tcW w:w="1116"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sz w:val="21"/>
                <w:szCs w:val="21"/>
              </w:rPr>
              <w:t>控制范围%</w:t>
            </w:r>
          </w:p>
        </w:tc>
        <w:tc>
          <w:tcPr>
            <w:tcW w:w="1034"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0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2-氯酚</w:t>
            </w:r>
          </w:p>
        </w:tc>
        <w:tc>
          <w:tcPr>
            <w:tcW w:w="1331"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0.06</w:t>
            </w:r>
          </w:p>
        </w:tc>
        <w:tc>
          <w:tcPr>
            <w:tcW w:w="188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&lt;0.06</w:t>
            </w:r>
          </w:p>
        </w:tc>
        <w:tc>
          <w:tcPr>
            <w:tcW w:w="1267"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80</w:t>
            </w:r>
          </w:p>
        </w:tc>
        <w:tc>
          <w:tcPr>
            <w:tcW w:w="1116"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74-122</w:t>
            </w:r>
          </w:p>
        </w:tc>
        <w:tc>
          <w:tcPr>
            <w:tcW w:w="1034"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0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萘</w:t>
            </w:r>
          </w:p>
        </w:tc>
        <w:tc>
          <w:tcPr>
            <w:tcW w:w="1331"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0.09</w:t>
            </w:r>
          </w:p>
        </w:tc>
        <w:tc>
          <w:tcPr>
            <w:tcW w:w="188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&lt;0.09</w:t>
            </w:r>
          </w:p>
        </w:tc>
        <w:tc>
          <w:tcPr>
            <w:tcW w:w="1267"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79</w:t>
            </w:r>
          </w:p>
        </w:tc>
        <w:tc>
          <w:tcPr>
            <w:tcW w:w="1116"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69-129</w:t>
            </w:r>
          </w:p>
        </w:tc>
        <w:tc>
          <w:tcPr>
            <w:tcW w:w="1034"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0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苯并(a)蒽</w:t>
            </w:r>
          </w:p>
        </w:tc>
        <w:tc>
          <w:tcPr>
            <w:tcW w:w="1331"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p>
        </w:tc>
        <w:tc>
          <w:tcPr>
            <w:tcW w:w="188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&lt;0.1</w:t>
            </w:r>
          </w:p>
        </w:tc>
        <w:tc>
          <w:tcPr>
            <w:tcW w:w="1267"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79</w:t>
            </w:r>
          </w:p>
        </w:tc>
        <w:tc>
          <w:tcPr>
            <w:tcW w:w="1116"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73-126</w:t>
            </w:r>
          </w:p>
        </w:tc>
        <w:tc>
          <w:tcPr>
            <w:tcW w:w="1034"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00"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䓛</w:t>
            </w:r>
          </w:p>
        </w:tc>
        <w:tc>
          <w:tcPr>
            <w:tcW w:w="1331"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p>
        </w:tc>
        <w:tc>
          <w:tcPr>
            <w:tcW w:w="188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&lt;0.1</w:t>
            </w:r>
          </w:p>
        </w:tc>
        <w:tc>
          <w:tcPr>
            <w:tcW w:w="1267"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78</w:t>
            </w:r>
          </w:p>
        </w:tc>
        <w:tc>
          <w:tcPr>
            <w:tcW w:w="1116"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74-121</w:t>
            </w:r>
          </w:p>
        </w:tc>
        <w:tc>
          <w:tcPr>
            <w:tcW w:w="1034"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00"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苯并(b)荧蒽</w:t>
            </w:r>
          </w:p>
        </w:tc>
        <w:tc>
          <w:tcPr>
            <w:tcW w:w="1331"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w:t>
            </w:r>
          </w:p>
        </w:tc>
        <w:tc>
          <w:tcPr>
            <w:tcW w:w="188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&lt;0.2</w:t>
            </w:r>
          </w:p>
        </w:tc>
        <w:tc>
          <w:tcPr>
            <w:tcW w:w="1267"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79</w:t>
            </w:r>
          </w:p>
        </w:tc>
        <w:tc>
          <w:tcPr>
            <w:tcW w:w="1116"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62-112</w:t>
            </w:r>
          </w:p>
        </w:tc>
        <w:tc>
          <w:tcPr>
            <w:tcW w:w="1034"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00"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苯并(k)荧蒽</w:t>
            </w:r>
          </w:p>
        </w:tc>
        <w:tc>
          <w:tcPr>
            <w:tcW w:w="1331"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p>
        </w:tc>
        <w:tc>
          <w:tcPr>
            <w:tcW w:w="188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&lt;0.1</w:t>
            </w:r>
          </w:p>
        </w:tc>
        <w:tc>
          <w:tcPr>
            <w:tcW w:w="1267"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86</w:t>
            </w:r>
          </w:p>
        </w:tc>
        <w:tc>
          <w:tcPr>
            <w:tcW w:w="1116"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62-112</w:t>
            </w:r>
          </w:p>
        </w:tc>
        <w:tc>
          <w:tcPr>
            <w:tcW w:w="1034"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00"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苯并(a)芘</w:t>
            </w:r>
          </w:p>
        </w:tc>
        <w:tc>
          <w:tcPr>
            <w:tcW w:w="1331"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p>
        </w:tc>
        <w:tc>
          <w:tcPr>
            <w:tcW w:w="188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&lt;0.1</w:t>
            </w:r>
          </w:p>
        </w:tc>
        <w:tc>
          <w:tcPr>
            <w:tcW w:w="1267"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80</w:t>
            </w:r>
          </w:p>
        </w:tc>
        <w:tc>
          <w:tcPr>
            <w:tcW w:w="1116"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60-119</w:t>
            </w:r>
          </w:p>
        </w:tc>
        <w:tc>
          <w:tcPr>
            <w:tcW w:w="1034"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00"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1331"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p>
        </w:tc>
        <w:tc>
          <w:tcPr>
            <w:tcW w:w="188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&lt;0.1</w:t>
            </w:r>
          </w:p>
        </w:tc>
        <w:tc>
          <w:tcPr>
            <w:tcW w:w="1267"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70</w:t>
            </w:r>
          </w:p>
        </w:tc>
        <w:tc>
          <w:tcPr>
            <w:tcW w:w="1116"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60-115</w:t>
            </w:r>
          </w:p>
        </w:tc>
        <w:tc>
          <w:tcPr>
            <w:tcW w:w="1034"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00"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二苯并(a,h)蒽</w:t>
            </w:r>
          </w:p>
        </w:tc>
        <w:tc>
          <w:tcPr>
            <w:tcW w:w="1331"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p>
        </w:tc>
        <w:tc>
          <w:tcPr>
            <w:tcW w:w="188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&lt;0.1</w:t>
            </w:r>
          </w:p>
        </w:tc>
        <w:tc>
          <w:tcPr>
            <w:tcW w:w="1267"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73</w:t>
            </w:r>
          </w:p>
        </w:tc>
        <w:tc>
          <w:tcPr>
            <w:tcW w:w="1116"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61-125</w:t>
            </w:r>
          </w:p>
        </w:tc>
        <w:tc>
          <w:tcPr>
            <w:tcW w:w="1034"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800"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硝基苯</w:t>
            </w:r>
          </w:p>
        </w:tc>
        <w:tc>
          <w:tcPr>
            <w:tcW w:w="1331"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0.09</w:t>
            </w:r>
          </w:p>
        </w:tc>
        <w:tc>
          <w:tcPr>
            <w:tcW w:w="1888"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&lt;0.09</w:t>
            </w:r>
          </w:p>
        </w:tc>
        <w:tc>
          <w:tcPr>
            <w:tcW w:w="1267" w:type="dxa"/>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88</w:t>
            </w:r>
          </w:p>
        </w:tc>
        <w:tc>
          <w:tcPr>
            <w:tcW w:w="1116"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68-117</w:t>
            </w:r>
          </w:p>
        </w:tc>
        <w:tc>
          <w:tcPr>
            <w:tcW w:w="1034" w:type="dxa"/>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 xml:space="preserve">10  </w:t>
      </w:r>
      <w:r>
        <w:rPr>
          <w:rFonts w:hint="default" w:ascii="Times New Roman" w:hAnsi="Times New Roman" w:eastAsia="宋体" w:cs="Times New Roman"/>
          <w:b/>
          <w:bCs/>
          <w:color w:val="auto"/>
        </w:rPr>
        <w:t>半挥发性有机物平行样质控结果统计表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262"/>
        <w:gridCol w:w="1350"/>
        <w:gridCol w:w="1925"/>
        <w:gridCol w:w="1435"/>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7"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替代物</w:t>
            </w:r>
          </w:p>
        </w:tc>
        <w:tc>
          <w:tcPr>
            <w:tcW w:w="1262"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样品结果（Rec%）</w:t>
            </w:r>
          </w:p>
        </w:tc>
        <w:tc>
          <w:tcPr>
            <w:tcW w:w="1350"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en-US" w:eastAsia="zh-CN"/>
              </w:rPr>
              <w:t>平行样品结果（Rec%）</w:t>
            </w:r>
          </w:p>
        </w:tc>
        <w:tc>
          <w:tcPr>
            <w:tcW w:w="1925"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相对偏差%</w:t>
            </w:r>
          </w:p>
        </w:tc>
        <w:tc>
          <w:tcPr>
            <w:tcW w:w="1435"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控制范围%</w:t>
            </w:r>
          </w:p>
        </w:tc>
        <w:tc>
          <w:tcPr>
            <w:tcW w:w="427"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7"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2-氟苯酚</w:t>
            </w:r>
          </w:p>
        </w:tc>
        <w:tc>
          <w:tcPr>
            <w:tcW w:w="1262"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72</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81</w:t>
            </w:r>
          </w:p>
        </w:tc>
        <w:tc>
          <w:tcPr>
            <w:tcW w:w="192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6</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427"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7"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苯酚-d6</w:t>
            </w:r>
          </w:p>
        </w:tc>
        <w:tc>
          <w:tcPr>
            <w:tcW w:w="1262"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96</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97</w:t>
            </w:r>
          </w:p>
        </w:tc>
        <w:tc>
          <w:tcPr>
            <w:tcW w:w="192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427"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7"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硝基苯-d5</w:t>
            </w:r>
          </w:p>
        </w:tc>
        <w:tc>
          <w:tcPr>
            <w:tcW w:w="1262"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95</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95</w:t>
            </w:r>
          </w:p>
        </w:tc>
        <w:tc>
          <w:tcPr>
            <w:tcW w:w="192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427"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7"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2-氟联苯</w:t>
            </w:r>
          </w:p>
        </w:tc>
        <w:tc>
          <w:tcPr>
            <w:tcW w:w="1262"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80</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86</w:t>
            </w:r>
          </w:p>
        </w:tc>
        <w:tc>
          <w:tcPr>
            <w:tcW w:w="192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4</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427"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7"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2,4,6-三溴苯酚</w:t>
            </w:r>
          </w:p>
        </w:tc>
        <w:tc>
          <w:tcPr>
            <w:tcW w:w="1262"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48</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92</w:t>
            </w:r>
          </w:p>
        </w:tc>
        <w:tc>
          <w:tcPr>
            <w:tcW w:w="192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32</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427"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7"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4,4'-三联苯-d14</w:t>
            </w:r>
          </w:p>
        </w:tc>
        <w:tc>
          <w:tcPr>
            <w:tcW w:w="1262"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74</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92</w:t>
            </w:r>
          </w:p>
        </w:tc>
        <w:tc>
          <w:tcPr>
            <w:tcW w:w="192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0～35</w:t>
            </w:r>
          </w:p>
        </w:tc>
        <w:tc>
          <w:tcPr>
            <w:tcW w:w="427"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其他因子</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本项目场地内除</w:t>
      </w:r>
      <w:r>
        <w:rPr>
          <w:rFonts w:hint="default" w:ascii="Times New Roman" w:hAnsi="Times New Roman" w:eastAsia="宋体" w:cs="Times New Roman"/>
          <w:color w:val="auto"/>
          <w:kern w:val="0"/>
          <w:sz w:val="24"/>
        </w:rPr>
        <w:t>《土壤环境质量  建设用地土壤污染风险管控标准》</w:t>
      </w:r>
      <w:r>
        <w:rPr>
          <w:rFonts w:hint="default" w:ascii="Times New Roman" w:hAnsi="Times New Roman" w:eastAsia="宋体" w:cs="Times New Roman"/>
          <w:color w:val="auto"/>
          <w:kern w:val="0"/>
          <w:sz w:val="24"/>
          <w:lang w:eastAsia="zh-CN"/>
        </w:rPr>
        <w:t>中规定的</w:t>
      </w:r>
      <w:r>
        <w:rPr>
          <w:rFonts w:hint="default" w:ascii="Times New Roman" w:hAnsi="Times New Roman" w:eastAsia="宋体" w:cs="Times New Roman"/>
          <w:color w:val="auto"/>
          <w:kern w:val="0"/>
          <w:sz w:val="24"/>
          <w:lang w:val="en-US" w:eastAsia="zh-CN"/>
        </w:rPr>
        <w:t>45项必测项，</w:t>
      </w:r>
      <w:r>
        <w:rPr>
          <w:rFonts w:hint="eastAsia" w:eastAsia="宋体" w:cs="Times New Roman"/>
          <w:color w:val="auto"/>
          <w:kern w:val="0"/>
          <w:sz w:val="24"/>
          <w:lang w:val="en-US" w:eastAsia="zh-CN"/>
        </w:rPr>
        <w:t>也检测了</w:t>
      </w:r>
      <w:r>
        <w:rPr>
          <w:rFonts w:hint="default" w:ascii="Times New Roman" w:hAnsi="Times New Roman" w:eastAsia="宋体" w:cs="Times New Roman"/>
          <w:color w:val="auto"/>
          <w:kern w:val="0"/>
          <w:sz w:val="24"/>
          <w:lang w:val="en-US" w:eastAsia="zh-CN"/>
        </w:rPr>
        <w:t>土壤中pH、锌和石油烃</w:t>
      </w:r>
      <w:r>
        <w:rPr>
          <w:rFonts w:hint="default" w:ascii="Times New Roman" w:hAnsi="Times New Roman" w:eastAsia="宋体" w:cs="Times New Roman"/>
          <w:color w:val="auto"/>
        </w:rPr>
        <w:t>TPH。</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江苏实朴检测服务有限公司</w:t>
      </w:r>
      <w:r>
        <w:rPr>
          <w:rFonts w:hint="default" w:ascii="Times New Roman" w:hAnsi="Times New Roman" w:eastAsia="宋体" w:cs="Times New Roman"/>
          <w:color w:val="auto"/>
        </w:rPr>
        <w:t>实验室提供</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组</w:t>
      </w:r>
      <w:r>
        <w:rPr>
          <w:rFonts w:hint="default" w:ascii="Times New Roman" w:hAnsi="Times New Roman" w:eastAsia="宋体" w:cs="Times New Roman"/>
          <w:color w:val="auto"/>
          <w:lang w:val="en-US" w:eastAsia="zh-CN"/>
        </w:rPr>
        <w:t>pH和锌的实验室样质控结果，1组石油类</w:t>
      </w:r>
      <w:r>
        <w:rPr>
          <w:rFonts w:hint="default" w:ascii="Times New Roman" w:hAnsi="Times New Roman" w:eastAsia="宋体" w:cs="Times New Roman"/>
          <w:color w:val="auto"/>
          <w:lang w:eastAsia="zh-CN"/>
        </w:rPr>
        <w:t>加标</w:t>
      </w:r>
      <w:r>
        <w:rPr>
          <w:rFonts w:hint="default" w:ascii="Times New Roman" w:hAnsi="Times New Roman" w:eastAsia="宋体" w:cs="Times New Roman"/>
          <w:color w:val="auto"/>
        </w:rPr>
        <w:t>平行样质控结果</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1组pH和石油类</w:t>
      </w:r>
      <w:r>
        <w:rPr>
          <w:rFonts w:hint="default" w:ascii="Times New Roman" w:hAnsi="Times New Roman" w:eastAsia="宋体" w:cs="Times New Roman"/>
          <w:color w:val="auto"/>
        </w:rPr>
        <w:t>平行样质控结果</w:t>
      </w:r>
      <w:r>
        <w:rPr>
          <w:rFonts w:hint="default" w:ascii="Times New Roman" w:hAnsi="Times New Roman" w:eastAsia="宋体" w:cs="Times New Roman"/>
          <w:color w:val="auto"/>
          <w:lang w:eastAsia="zh-CN"/>
        </w:rPr>
        <w:t>，另外对锌提供了</w:t>
      </w:r>
      <w:r>
        <w:rPr>
          <w:rFonts w:hint="default" w:ascii="Times New Roman" w:hAnsi="Times New Roman" w:eastAsia="宋体" w:cs="Times New Roman"/>
          <w:color w:val="auto"/>
          <w:lang w:val="en-US" w:eastAsia="zh-CN"/>
        </w:rPr>
        <w:t>2组</w:t>
      </w:r>
      <w:r>
        <w:rPr>
          <w:rFonts w:hint="default" w:ascii="Times New Roman" w:hAnsi="Times New Roman" w:eastAsia="宋体" w:cs="Times New Roman"/>
          <w:color w:val="auto"/>
        </w:rPr>
        <w:t>平行样质控结果</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各类质控结果均满足相应的实验室质量控制要求，统计结果详见表5.2-1</w:t>
      </w:r>
      <w:r>
        <w:rPr>
          <w:rFonts w:hint="default" w:ascii="Times New Roman" w:hAnsi="Times New Roman" w:eastAsia="宋体" w:cs="Times New Roman"/>
          <w:color w:val="auto"/>
          <w:lang w:val="en-US" w:eastAsia="zh-CN"/>
        </w:rPr>
        <w:t>1、表5.2-12和表</w:t>
      </w:r>
      <w:r>
        <w:rPr>
          <w:rFonts w:hint="default" w:ascii="Times New Roman" w:hAnsi="Times New Roman" w:eastAsia="宋体" w:cs="Times New Roman"/>
          <w:color w:val="auto"/>
        </w:rPr>
        <w:t>5.2-1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11  其他因子</w:t>
      </w:r>
      <w:r>
        <w:rPr>
          <w:rFonts w:hint="default" w:ascii="Times New Roman" w:hAnsi="Times New Roman" w:eastAsia="宋体" w:cs="Times New Roman"/>
          <w:b/>
          <w:bCs/>
          <w:color w:val="auto"/>
        </w:rPr>
        <w:t>实验室质控样质控结果统计表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2608"/>
        <w:gridCol w:w="2960"/>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1415"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eastAsia="宋体" w:cs="Times New Roman"/>
                <w:b/>
                <w:bCs w:val="0"/>
                <w:color w:val="auto"/>
                <w:kern w:val="0"/>
                <w:sz w:val="21"/>
                <w:szCs w:val="21"/>
                <w:lang w:val="en-US" w:eastAsia="zh-CN" w:bidi="ar-SA"/>
              </w:rPr>
              <w:t>检测项目</w:t>
            </w:r>
          </w:p>
        </w:tc>
        <w:tc>
          <w:tcPr>
            <w:tcW w:w="2608"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测定值</w:t>
            </w:r>
          </w:p>
        </w:tc>
        <w:tc>
          <w:tcPr>
            <w:tcW w:w="2960"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bidi="ar"/>
              </w:rPr>
              <w:t>标准值范围</w:t>
            </w:r>
          </w:p>
        </w:tc>
        <w:tc>
          <w:tcPr>
            <w:tcW w:w="1435"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15"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260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8.58</w:t>
            </w:r>
          </w:p>
        </w:tc>
        <w:tc>
          <w:tcPr>
            <w:tcW w:w="2960"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8.54-8.68</w:t>
            </w:r>
          </w:p>
        </w:tc>
        <w:tc>
          <w:tcPr>
            <w:tcW w:w="1435"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15"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锌</w:t>
            </w:r>
          </w:p>
        </w:tc>
        <w:tc>
          <w:tcPr>
            <w:tcW w:w="2608"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141</w:t>
            </w:r>
          </w:p>
        </w:tc>
        <w:tc>
          <w:tcPr>
            <w:tcW w:w="2960"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38.6-145</w:t>
            </w:r>
          </w:p>
        </w:tc>
        <w:tc>
          <w:tcPr>
            <w:tcW w:w="1435"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p>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12  其他因子</w:t>
      </w:r>
      <w:r>
        <w:rPr>
          <w:rFonts w:hint="default" w:ascii="Times New Roman" w:hAnsi="Times New Roman" w:eastAsia="宋体" w:cs="Times New Roman"/>
          <w:b/>
          <w:bCs/>
          <w:color w:val="auto"/>
          <w:lang w:eastAsia="zh-CN"/>
        </w:rPr>
        <w:t>加标</w:t>
      </w:r>
      <w:r>
        <w:rPr>
          <w:rFonts w:hint="default" w:ascii="Times New Roman" w:hAnsi="Times New Roman" w:eastAsia="宋体" w:cs="Times New Roman"/>
          <w:b/>
          <w:bCs/>
          <w:color w:val="auto"/>
        </w:rPr>
        <w:t>平行样质控结果统计表</w:t>
      </w:r>
    </w:p>
    <w:tbl>
      <w:tblPr>
        <w:tblStyle w:val="17"/>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385"/>
        <w:gridCol w:w="1438"/>
        <w:gridCol w:w="1255"/>
        <w:gridCol w:w="2218"/>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3"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因子</w:t>
            </w:r>
          </w:p>
        </w:tc>
        <w:tc>
          <w:tcPr>
            <w:tcW w:w="1385"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加标</w:t>
            </w:r>
            <w:r>
              <w:rPr>
                <w:rFonts w:hint="default" w:ascii="Times New Roman" w:hAnsi="Times New Roman" w:eastAsia="宋体" w:cs="Times New Roman"/>
                <w:b/>
                <w:bCs/>
                <w:color w:val="auto"/>
                <w:sz w:val="21"/>
                <w:szCs w:val="21"/>
                <w:lang w:eastAsia="zh-CN"/>
              </w:rPr>
              <w:t>样品</w:t>
            </w:r>
            <w:r>
              <w:rPr>
                <w:rFonts w:hint="default" w:ascii="Times New Roman" w:hAnsi="Times New Roman" w:eastAsia="宋体" w:cs="Times New Roman"/>
                <w:b/>
                <w:bCs/>
                <w:color w:val="auto"/>
                <w:sz w:val="21"/>
                <w:szCs w:val="21"/>
              </w:rPr>
              <w:t>回收率%</w:t>
            </w:r>
          </w:p>
        </w:tc>
        <w:tc>
          <w:tcPr>
            <w:tcW w:w="1438"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加标平行样品回收率</w:t>
            </w:r>
            <w:r>
              <w:rPr>
                <w:rFonts w:hint="default" w:ascii="Times New Roman" w:hAnsi="Times New Roman" w:eastAsia="宋体" w:cs="Times New Roman"/>
                <w:b/>
                <w:bCs/>
                <w:color w:val="auto"/>
                <w:sz w:val="21"/>
                <w:szCs w:val="21"/>
                <w:lang w:val="en-US" w:eastAsia="zh-CN"/>
              </w:rPr>
              <w:t>%</w:t>
            </w:r>
          </w:p>
        </w:tc>
        <w:tc>
          <w:tcPr>
            <w:tcW w:w="1255"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相对偏差</w:t>
            </w:r>
            <w:r>
              <w:rPr>
                <w:rFonts w:hint="default" w:ascii="Times New Roman" w:hAnsi="Times New Roman" w:eastAsia="宋体" w:cs="Times New Roman"/>
                <w:b/>
                <w:bCs/>
                <w:color w:val="auto"/>
                <w:sz w:val="21"/>
                <w:szCs w:val="21"/>
                <w:lang w:val="en-US" w:eastAsia="zh-CN"/>
              </w:rPr>
              <w:t>%</w:t>
            </w:r>
          </w:p>
        </w:tc>
        <w:tc>
          <w:tcPr>
            <w:tcW w:w="2218"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相对偏差</w:t>
            </w:r>
            <w:r>
              <w:rPr>
                <w:rFonts w:hint="default" w:ascii="Times New Roman" w:hAnsi="Times New Roman" w:eastAsia="宋体" w:cs="Times New Roman"/>
                <w:b/>
                <w:bCs/>
                <w:color w:val="auto"/>
                <w:sz w:val="21"/>
                <w:szCs w:val="21"/>
              </w:rPr>
              <w:t>控制范围%</w:t>
            </w:r>
          </w:p>
        </w:tc>
        <w:tc>
          <w:tcPr>
            <w:tcW w:w="777"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石油类</w:t>
            </w:r>
          </w:p>
        </w:tc>
        <w:tc>
          <w:tcPr>
            <w:tcW w:w="138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85</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88</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2</w:t>
            </w:r>
          </w:p>
        </w:tc>
        <w:tc>
          <w:tcPr>
            <w:tcW w:w="2218"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0-30</w:t>
            </w:r>
          </w:p>
        </w:tc>
        <w:tc>
          <w:tcPr>
            <w:tcW w:w="777" w:type="dxa"/>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Style w:val="15"/>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13  其他因子</w:t>
      </w:r>
      <w:r>
        <w:rPr>
          <w:rFonts w:hint="default" w:ascii="Times New Roman" w:hAnsi="Times New Roman" w:eastAsia="宋体" w:cs="Times New Roman"/>
          <w:b/>
          <w:bCs/>
          <w:color w:val="auto"/>
        </w:rPr>
        <w:t>平行样质控结果统计表</w:t>
      </w:r>
    </w:p>
    <w:tbl>
      <w:tblPr>
        <w:tblStyle w:val="17"/>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779"/>
        <w:gridCol w:w="1721"/>
        <w:gridCol w:w="1535"/>
        <w:gridCol w:w="1383"/>
        <w:gridCol w:w="1634"/>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8" w:type="dxa"/>
            <w:gridSpan w:val="2"/>
            <w:noWrap w:val="0"/>
            <w:vAlign w:val="center"/>
          </w:tcPr>
          <w:p>
            <w:pPr>
              <w:pStyle w:val="15"/>
              <w:keepNext w:val="0"/>
              <w:keepLines w:val="0"/>
              <w:pageBreakBefore w:val="0"/>
              <w:widowControl w:val="0"/>
              <w:kinsoku/>
              <w:wordWrap/>
              <w:overflowPunct/>
              <w:topLinePunct w:val="0"/>
              <w:autoSpaceDE/>
              <w:autoSpaceDN/>
              <w:bidi w:val="0"/>
              <w:spacing w:after="0" w:line="36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因子</w:t>
            </w:r>
          </w:p>
        </w:tc>
        <w:tc>
          <w:tcPr>
            <w:tcW w:w="1721"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样品结果</w:t>
            </w:r>
          </w:p>
        </w:tc>
        <w:tc>
          <w:tcPr>
            <w:tcW w:w="1535"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en-US" w:eastAsia="zh-CN"/>
              </w:rPr>
              <w:t>平行样品结果</w:t>
            </w:r>
          </w:p>
        </w:tc>
        <w:tc>
          <w:tcPr>
            <w:tcW w:w="1383"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相对偏差%</w:t>
            </w:r>
          </w:p>
        </w:tc>
        <w:tc>
          <w:tcPr>
            <w:tcW w:w="1634"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控制范围%</w:t>
            </w:r>
          </w:p>
        </w:tc>
        <w:tc>
          <w:tcPr>
            <w:tcW w:w="696" w:type="dxa"/>
            <w:noWrap w:val="0"/>
            <w:vAlign w:val="center"/>
          </w:tcPr>
          <w:p>
            <w:pPr>
              <w:pStyle w:val="15"/>
              <w:keepNext w:val="0"/>
              <w:keepLines w:val="0"/>
              <w:pageBreakBefore w:val="0"/>
              <w:widowControl w:val="0"/>
              <w:kinsoku/>
              <w:wordWrap/>
              <w:overflowPunct/>
              <w:topLinePunct w:val="0"/>
              <w:autoSpaceDE/>
              <w:autoSpaceDN/>
              <w:bidi w:val="0"/>
              <w:spacing w:after="0" w:line="36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8" w:type="dxa"/>
            <w:gridSpan w:val="2"/>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pH</w:t>
            </w:r>
          </w:p>
        </w:tc>
        <w:tc>
          <w:tcPr>
            <w:tcW w:w="1721"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7.84</w:t>
            </w:r>
          </w:p>
        </w:tc>
        <w:tc>
          <w:tcPr>
            <w:tcW w:w="15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7.85</w:t>
            </w:r>
          </w:p>
        </w:tc>
        <w:tc>
          <w:tcPr>
            <w:tcW w:w="138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1634"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696"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vMerge w:val="restart"/>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锌</w:t>
            </w:r>
          </w:p>
        </w:tc>
        <w:tc>
          <w:tcPr>
            <w:tcW w:w="779"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S1-0.5</w:t>
            </w:r>
          </w:p>
        </w:tc>
        <w:tc>
          <w:tcPr>
            <w:tcW w:w="1721"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77</w:t>
            </w:r>
          </w:p>
        </w:tc>
        <w:tc>
          <w:tcPr>
            <w:tcW w:w="15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76</w:t>
            </w:r>
          </w:p>
        </w:tc>
        <w:tc>
          <w:tcPr>
            <w:tcW w:w="138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w:t>
            </w:r>
          </w:p>
        </w:tc>
        <w:tc>
          <w:tcPr>
            <w:tcW w:w="1634"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0～15</w:t>
            </w:r>
          </w:p>
        </w:tc>
        <w:tc>
          <w:tcPr>
            <w:tcW w:w="696"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9"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p>
        </w:tc>
        <w:tc>
          <w:tcPr>
            <w:tcW w:w="779"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bidi="ar-SA"/>
              </w:rPr>
              <w:t>S5-0.5</w:t>
            </w:r>
          </w:p>
        </w:tc>
        <w:tc>
          <w:tcPr>
            <w:tcW w:w="1721"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74</w:t>
            </w:r>
          </w:p>
        </w:tc>
        <w:tc>
          <w:tcPr>
            <w:tcW w:w="15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b/>
                <w:i w:val="0"/>
                <w:color w:val="auto"/>
                <w:sz w:val="21"/>
                <w:szCs w:val="21"/>
                <w:u w:val="no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71</w:t>
            </w:r>
          </w:p>
        </w:tc>
        <w:tc>
          <w:tcPr>
            <w:tcW w:w="138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w:t>
            </w:r>
          </w:p>
        </w:tc>
        <w:tc>
          <w:tcPr>
            <w:tcW w:w="1634"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0～15</w:t>
            </w:r>
          </w:p>
        </w:tc>
        <w:tc>
          <w:tcPr>
            <w:tcW w:w="696"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8" w:type="dxa"/>
            <w:gridSpan w:val="2"/>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石油类</w:t>
            </w:r>
          </w:p>
        </w:tc>
        <w:tc>
          <w:tcPr>
            <w:tcW w:w="1721"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1535"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1383"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1634" w:type="dxa"/>
            <w:noWrap w:val="0"/>
            <w:vAlign w:val="center"/>
          </w:tcPr>
          <w:p>
            <w:pPr>
              <w:keepNext w:val="0"/>
              <w:keepLines w:val="0"/>
              <w:pageBreakBefore w:val="0"/>
              <w:widowControl/>
              <w:suppressLineNumbers w:val="0"/>
              <w:kinsoku/>
              <w:wordWrap/>
              <w:overflowPunct/>
              <w:topLinePunct w:val="0"/>
              <w:autoSpaceDE/>
              <w:autoSpaceDN/>
              <w:bidi w:val="0"/>
              <w:spacing w:line="36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696" w:type="dxa"/>
            <w:noWrap w:val="0"/>
            <w:vAlign w:val="center"/>
          </w:tcPr>
          <w:p>
            <w:pPr>
              <w:keepNext w:val="0"/>
              <w:keepLines w:val="0"/>
              <w:pageBreakBefore w:val="0"/>
              <w:widowControl w:val="0"/>
              <w:kinsoku/>
              <w:wordWrap/>
              <w:overflowPunct/>
              <w:topLinePunct w:val="0"/>
              <w:autoSpaceDE/>
              <w:autoSpaceDN/>
              <w:bidi w:val="0"/>
              <w:spacing w:line="360" w:lineRule="auto"/>
              <w:ind w:left="-120" w:leftChars="-50" w:right="-120" w:rightChars="-5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202" w:name="_Toc3592"/>
      <w:bookmarkStart w:id="203" w:name="_Toc18306"/>
      <w:bookmarkStart w:id="204" w:name="_Toc13555"/>
      <w:bookmarkStart w:id="205" w:name="_Toc25254"/>
      <w:bookmarkStart w:id="206" w:name="_Toc8902"/>
      <w:bookmarkStart w:id="207" w:name="_Toc14344"/>
      <w:r>
        <w:rPr>
          <w:rFonts w:hint="default" w:ascii="Times New Roman" w:hAnsi="Times New Roman" w:eastAsia="宋体" w:cs="Times New Roman"/>
          <w:color w:val="auto"/>
          <w:lang w:val="en-US" w:eastAsia="zh-CN"/>
        </w:rPr>
        <w:t>5.2.4</w:t>
      </w:r>
      <w:bookmarkStart w:id="208" w:name="_Toc22142"/>
      <w:bookmarkStart w:id="209" w:name="_Toc21835"/>
      <w:r>
        <w:rPr>
          <w:rFonts w:hint="default" w:ascii="Times New Roman" w:hAnsi="Times New Roman" w:eastAsia="宋体" w:cs="Times New Roman"/>
          <w:color w:val="auto"/>
          <w:lang w:val="en-US" w:eastAsia="zh-CN"/>
        </w:rPr>
        <w:t>质量控制与质量管理结论</w:t>
      </w:r>
      <w:bookmarkEnd w:id="202"/>
      <w:bookmarkEnd w:id="208"/>
      <w:bookmarkEnd w:id="209"/>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通过采样现场、样品流转以及实验室内部质量保证措施和表5.3-1质量控制数据评价分析表明：</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符合实验室质量控制程序；</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方法空白分析低于报告限； </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代用品回收率满足准确度要求；</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实验室加标、基质加标、基质加标平行样均满足实验室准确度要求；</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所有样品的保留时间、温度以及实验室内部质量保证和质量控制均符合规定的要求。</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rPr>
        <w:t>通过以上质量保证和质量控制资料的评估表明，实验室提供的土壤的分析数据是有效的，是适合于场地的环境现状评价的。</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210" w:name="_Toc19935"/>
      <w:r>
        <w:rPr>
          <w:rFonts w:hint="default" w:ascii="Times New Roman" w:hAnsi="Times New Roman" w:eastAsia="宋体" w:cs="Times New Roman"/>
          <w:color w:val="auto"/>
          <w:sz w:val="28"/>
          <w:szCs w:val="28"/>
          <w:lang w:val="en-US" w:eastAsia="zh-CN"/>
        </w:rPr>
        <w:t>5.3 现场安全防护与应急处理</w:t>
      </w:r>
      <w:bookmarkEnd w:id="203"/>
      <w:bookmarkEnd w:id="204"/>
      <w:bookmarkEnd w:id="205"/>
      <w:bookmarkEnd w:id="206"/>
      <w:bookmarkEnd w:id="207"/>
      <w:bookmarkEnd w:id="210"/>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（1）现场安全防护</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由于项目区内采样过程中存在安全隐患，需做好防护工作。采样前购买防护服、防护口罩、防护手套等保护装备。采样过程中要求工作人员穿好工作服，戴好防护口罩和防护手套，以保证工作人员人身安全。</w:t>
      </w:r>
    </w:p>
    <w:p>
      <w:pPr>
        <w:pageBreakBefore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（2）现场污染应急处理</w:t>
      </w:r>
    </w:p>
    <w:p>
      <w:pPr>
        <w:pageBreakBefore w:val="0"/>
        <w:kinsoku/>
        <w:wordWrap/>
        <w:overflowPunct/>
        <w:topLinePunct w:val="0"/>
        <w:bidi w:val="0"/>
        <w:spacing w:line="360" w:lineRule="auto"/>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当现场评价的过程中发现存在危险物质泄漏时，应对泄漏情况及危害程度进行快速评估，并确保是否需要立即采取措施清除泄漏源。一旦确认需要进行紧急清除，则应立即通知业主和当地环保部门</w:t>
      </w:r>
      <w:bookmarkEnd w:id="141"/>
      <w:bookmarkEnd w:id="142"/>
      <w:bookmarkEnd w:id="143"/>
      <w:bookmarkEnd w:id="144"/>
      <w:bookmarkEnd w:id="145"/>
      <w:bookmarkEnd w:id="146"/>
      <w:bookmarkEnd w:id="147"/>
      <w:bookmarkEnd w:id="148"/>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eastAsia="zh-CN"/>
        </w:rPr>
        <w:br w:type="page"/>
      </w:r>
    </w:p>
    <w:p>
      <w:pPr>
        <w:pStyle w:val="4"/>
        <w:pageBreakBefore w:val="0"/>
        <w:kinsoku/>
        <w:wordWrap/>
        <w:overflowPunct/>
        <w:topLinePunct w:val="0"/>
        <w:bidi w:val="0"/>
        <w:spacing w:line="360" w:lineRule="auto"/>
        <w:ind w:firstLine="0"/>
        <w:rPr>
          <w:rFonts w:hint="default" w:ascii="Times New Roman" w:hAnsi="Times New Roman" w:eastAsia="宋体" w:cs="Times New Roman"/>
          <w:color w:val="auto"/>
          <w:sz w:val="30"/>
          <w:szCs w:val="30"/>
          <w:lang w:val="en-US" w:eastAsia="zh-CN"/>
        </w:rPr>
      </w:pPr>
      <w:bookmarkStart w:id="211" w:name="_Toc23572"/>
      <w:bookmarkStart w:id="212" w:name="_Toc14194"/>
      <w:bookmarkStart w:id="213" w:name="_Toc11176"/>
      <w:bookmarkStart w:id="214" w:name="_Toc5193"/>
      <w:bookmarkStart w:id="215" w:name="_Toc28048"/>
      <w:bookmarkStart w:id="216" w:name="_Toc17198"/>
      <w:bookmarkStart w:id="217" w:name="_Toc13627"/>
      <w:bookmarkStart w:id="218" w:name="_Toc4475"/>
      <w:bookmarkStart w:id="219" w:name="_Toc27120"/>
      <w:bookmarkStart w:id="220" w:name="_Toc3841"/>
      <w:bookmarkStart w:id="221" w:name="_Toc9307"/>
      <w:bookmarkStart w:id="222" w:name="_Toc25249"/>
      <w:r>
        <w:rPr>
          <w:rFonts w:hint="default" w:ascii="Times New Roman" w:hAnsi="Times New Roman" w:eastAsia="宋体" w:cs="Times New Roman"/>
          <w:color w:val="auto"/>
          <w:sz w:val="30"/>
          <w:szCs w:val="30"/>
          <w:lang w:val="en-US" w:eastAsia="zh-CN"/>
        </w:rPr>
        <w:t>6 检测结果的评估</w:t>
      </w:r>
      <w:bookmarkEnd w:id="211"/>
      <w:bookmarkEnd w:id="212"/>
      <w:bookmarkEnd w:id="213"/>
      <w:bookmarkEnd w:id="214"/>
      <w:bookmarkEnd w:id="215"/>
      <w:bookmarkEnd w:id="216"/>
      <w:bookmarkEnd w:id="217"/>
      <w:bookmarkEnd w:id="218"/>
      <w:bookmarkEnd w:id="219"/>
      <w:bookmarkEnd w:id="220"/>
      <w:bookmarkEnd w:id="221"/>
      <w:bookmarkEnd w:id="222"/>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223" w:name="_Toc14387"/>
      <w:bookmarkStart w:id="224" w:name="_Toc19703"/>
      <w:bookmarkStart w:id="225" w:name="_Toc8953"/>
      <w:r>
        <w:rPr>
          <w:rFonts w:hint="default" w:ascii="Times New Roman" w:hAnsi="Times New Roman" w:eastAsia="宋体" w:cs="Times New Roman"/>
          <w:color w:val="auto"/>
          <w:sz w:val="28"/>
          <w:szCs w:val="28"/>
          <w:lang w:val="en-US" w:eastAsia="zh-CN"/>
        </w:rPr>
        <w:t>6.1 数据统计过程</w:t>
      </w:r>
      <w:bookmarkEnd w:id="223"/>
      <w:bookmarkEnd w:id="224"/>
      <w:bookmarkEnd w:id="225"/>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①确定筛选依据标准，对土壤和地下水检测数据进行筛选；</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②将场地的分析检测结果分类整理分析，通过数理统计的方法来了解和分析场地污染程度以及污染物分布情况，重点统计检出率、浓度范围、95％置信上限和超筛选值率四个指标；</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③根据统计结果，对比所有检测样品的检测数据是否超过项目选定的筛选值。</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226" w:name="_Toc23856"/>
      <w:bookmarkStart w:id="227" w:name="_Toc32716"/>
      <w:bookmarkStart w:id="228" w:name="_Toc2707"/>
      <w:bookmarkStart w:id="229" w:name="_Toc19306"/>
      <w:bookmarkStart w:id="230" w:name="_Toc18012"/>
      <w:r>
        <w:rPr>
          <w:rFonts w:hint="default" w:ascii="Times New Roman" w:hAnsi="Times New Roman" w:eastAsia="宋体" w:cs="Times New Roman"/>
          <w:color w:val="auto"/>
          <w:sz w:val="28"/>
          <w:szCs w:val="28"/>
          <w:lang w:val="en-US" w:eastAsia="zh-CN"/>
        </w:rPr>
        <w:t>6.2 检测结果分析</w:t>
      </w:r>
      <w:bookmarkEnd w:id="226"/>
      <w:bookmarkEnd w:id="227"/>
      <w:bookmarkEnd w:id="228"/>
      <w:bookmarkEnd w:id="229"/>
      <w:bookmarkEnd w:id="230"/>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231" w:name="_Toc1171"/>
      <w:bookmarkStart w:id="232" w:name="_Toc16645"/>
      <w:bookmarkStart w:id="233" w:name="_Toc14704"/>
      <w:r>
        <w:rPr>
          <w:rFonts w:hint="default" w:ascii="Times New Roman" w:hAnsi="Times New Roman" w:eastAsia="宋体" w:cs="Times New Roman"/>
          <w:color w:val="auto"/>
          <w:lang w:val="en-US" w:eastAsia="zh-CN"/>
        </w:rPr>
        <w:t>6.2.1 土壤检测结果筛选依据</w:t>
      </w:r>
      <w:bookmarkEnd w:id="231"/>
      <w:bookmarkEnd w:id="232"/>
      <w:bookmarkEnd w:id="233"/>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t>土壤超标评价标准选用《土壤环境质量 建设用地土壤污染风险管控标准（试行）》（GB</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36600-2018），对于该标准中未给出筛选值但有检出的污染物则依据HJ</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25.3等标准及相关技术要求开展风险评估，推导特定污染物的土壤污染风险筛选值。</w:t>
      </w:r>
      <w:r>
        <w:rPr>
          <w:rFonts w:hint="default" w:ascii="Times New Roman" w:hAnsi="Times New Roman" w:eastAsia="宋体" w:cs="Times New Roman"/>
          <w:color w:val="auto"/>
          <w:sz w:val="24"/>
          <w:szCs w:val="24"/>
        </w:rPr>
        <w:t>目前我国缺少对土壤中pH值进行超标评价的相关依据，本次不再对pH值进行评价。</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将场地土壤的分析检测结果与下列标准进行对比，通过对比分析了解场地中各种污染物浓度的大小程度。项目土壤中有检出的污染因子选用的筛选值见表6.2-1。</w:t>
      </w:r>
    </w:p>
    <w:p>
      <w:pPr>
        <w:pStyle w:val="2"/>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表6.2-1  本项目土壤检测结果选用评价值一览表</w:t>
      </w:r>
    </w:p>
    <w:tbl>
      <w:tblPr>
        <w:tblStyle w:val="16"/>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412"/>
        <w:gridCol w:w="1500"/>
        <w:gridCol w:w="1213"/>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49"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14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CAS编号</w:t>
            </w:r>
          </w:p>
        </w:tc>
        <w:tc>
          <w:tcPr>
            <w:tcW w:w="150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选用筛选值</w:t>
            </w:r>
          </w:p>
        </w:tc>
        <w:tc>
          <w:tcPr>
            <w:tcW w:w="121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2945"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参考标准来源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w:t>
            </w:r>
          </w:p>
        </w:tc>
        <w:tc>
          <w:tcPr>
            <w:tcW w:w="14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7440-38-2</w:t>
            </w:r>
          </w:p>
        </w:tc>
        <w:tc>
          <w:tcPr>
            <w:tcW w:w="150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21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mg/kg</w:t>
            </w:r>
          </w:p>
        </w:tc>
        <w:tc>
          <w:tcPr>
            <w:tcW w:w="2945" w:type="dxa"/>
            <w:vMerge w:val="restar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《土壤环境质量 建设用地土壤污染风险管控标准（试行）》（GB36600-2018）中第二类用地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镉</w:t>
            </w:r>
          </w:p>
        </w:tc>
        <w:tc>
          <w:tcPr>
            <w:tcW w:w="14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7440-43-9</w:t>
            </w:r>
          </w:p>
        </w:tc>
        <w:tc>
          <w:tcPr>
            <w:tcW w:w="150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121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mg/kg</w:t>
            </w:r>
          </w:p>
        </w:tc>
        <w:tc>
          <w:tcPr>
            <w:tcW w:w="2945" w:type="dxa"/>
            <w:vMerge w:val="continue"/>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铜</w:t>
            </w:r>
          </w:p>
        </w:tc>
        <w:tc>
          <w:tcPr>
            <w:tcW w:w="14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7440-50-8</w:t>
            </w:r>
          </w:p>
        </w:tc>
        <w:tc>
          <w:tcPr>
            <w:tcW w:w="150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18000</w:t>
            </w:r>
          </w:p>
        </w:tc>
        <w:tc>
          <w:tcPr>
            <w:tcW w:w="121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mg/kg</w:t>
            </w:r>
          </w:p>
        </w:tc>
        <w:tc>
          <w:tcPr>
            <w:tcW w:w="2945" w:type="dxa"/>
            <w:vMerge w:val="continue"/>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w:t>
            </w:r>
          </w:p>
        </w:tc>
        <w:tc>
          <w:tcPr>
            <w:tcW w:w="14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7439-92-1</w:t>
            </w:r>
          </w:p>
        </w:tc>
        <w:tc>
          <w:tcPr>
            <w:tcW w:w="150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800</w:t>
            </w:r>
          </w:p>
        </w:tc>
        <w:tc>
          <w:tcPr>
            <w:tcW w:w="121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mg/kg</w:t>
            </w:r>
          </w:p>
        </w:tc>
        <w:tc>
          <w:tcPr>
            <w:tcW w:w="2945" w:type="dxa"/>
            <w:vMerge w:val="continue"/>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14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7439-97-6</w:t>
            </w:r>
          </w:p>
        </w:tc>
        <w:tc>
          <w:tcPr>
            <w:tcW w:w="150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121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mg/kg</w:t>
            </w:r>
          </w:p>
        </w:tc>
        <w:tc>
          <w:tcPr>
            <w:tcW w:w="2945" w:type="dxa"/>
            <w:vMerge w:val="continue"/>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镍</w:t>
            </w:r>
          </w:p>
        </w:tc>
        <w:tc>
          <w:tcPr>
            <w:tcW w:w="1412"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7440-02-0</w:t>
            </w:r>
          </w:p>
        </w:tc>
        <w:tc>
          <w:tcPr>
            <w:tcW w:w="1500"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w:t>
            </w:r>
          </w:p>
        </w:tc>
        <w:tc>
          <w:tcPr>
            <w:tcW w:w="1213" w:type="dxa"/>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mg/kg</w:t>
            </w:r>
          </w:p>
        </w:tc>
        <w:tc>
          <w:tcPr>
            <w:tcW w:w="2945" w:type="dxa"/>
            <w:vMerge w:val="continue"/>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氯苯</w:t>
            </w:r>
          </w:p>
        </w:tc>
        <w:tc>
          <w:tcPr>
            <w:tcW w:w="141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108-90-7</w:t>
            </w:r>
          </w:p>
        </w:tc>
        <w:tc>
          <w:tcPr>
            <w:tcW w:w="1500"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270</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g/kg</w:t>
            </w:r>
          </w:p>
        </w:tc>
        <w:tc>
          <w:tcPr>
            <w:tcW w:w="2945" w:type="dxa"/>
            <w:vMerge w:val="continue"/>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1,4-二氯苯</w:t>
            </w:r>
          </w:p>
        </w:tc>
        <w:tc>
          <w:tcPr>
            <w:tcW w:w="141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106-46-7</w:t>
            </w:r>
          </w:p>
        </w:tc>
        <w:tc>
          <w:tcPr>
            <w:tcW w:w="1500"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g/kg</w:t>
            </w:r>
          </w:p>
        </w:tc>
        <w:tc>
          <w:tcPr>
            <w:tcW w:w="2945" w:type="dxa"/>
            <w:vMerge w:val="continue"/>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1,2-二氯苯</w:t>
            </w:r>
          </w:p>
        </w:tc>
        <w:tc>
          <w:tcPr>
            <w:tcW w:w="141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95-50-1</w:t>
            </w:r>
          </w:p>
        </w:tc>
        <w:tc>
          <w:tcPr>
            <w:tcW w:w="1500"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560</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g/kg</w:t>
            </w:r>
          </w:p>
        </w:tc>
        <w:tc>
          <w:tcPr>
            <w:tcW w:w="2945" w:type="dxa"/>
            <w:vMerge w:val="continue"/>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石油类</w:t>
            </w:r>
          </w:p>
        </w:tc>
        <w:tc>
          <w:tcPr>
            <w:tcW w:w="141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50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4500</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mg/kg</w:t>
            </w:r>
          </w:p>
        </w:tc>
        <w:tc>
          <w:tcPr>
            <w:tcW w:w="2945" w:type="dxa"/>
            <w:vMerge w:val="continue"/>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锌</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9070</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mg/kg</w:t>
            </w:r>
          </w:p>
        </w:tc>
        <w:tc>
          <w:tcPr>
            <w:tcW w:w="0" w:type="auto"/>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计算</w:t>
            </w:r>
            <w:r>
              <w:rPr>
                <w:rFonts w:hint="eastAsia" w:eastAsia="宋体" w:cs="Times New Roman"/>
                <w:color w:val="auto"/>
                <w:sz w:val="21"/>
                <w:szCs w:val="21"/>
                <w:highlight w:val="none"/>
                <w:lang w:eastAsia="zh-CN"/>
              </w:rPr>
              <w:t>（计算结果见附件）</w:t>
            </w:r>
          </w:p>
        </w:tc>
      </w:tr>
    </w:tbl>
    <w:p>
      <w:pPr>
        <w:pStyle w:val="26"/>
        <w:pageBreakBefore w:val="0"/>
        <w:kinsoku/>
        <w:wordWrap/>
        <w:overflowPunct/>
        <w:topLinePunct w:val="0"/>
        <w:autoSpaceDE/>
        <w:autoSpaceDN/>
        <w:bidi w:val="0"/>
        <w:spacing w:before="0" w:beforeLines="0" w:line="360" w:lineRule="auto"/>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注：①上表仅列出样品中有检出的污染物因子；</w:t>
      </w:r>
    </w:p>
    <w:p>
      <w:pPr>
        <w:pStyle w:val="26"/>
        <w:pageBreakBefore w:val="0"/>
        <w:kinsoku/>
        <w:wordWrap/>
        <w:overflowPunct/>
        <w:topLinePunct w:val="0"/>
        <w:autoSpaceDE/>
        <w:autoSpaceDN/>
        <w:bidi w:val="0"/>
        <w:spacing w:before="0" w:beforeLines="0" w:line="360" w:lineRule="auto"/>
        <w:ind w:firstLine="482"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②所有检测因子选用的检测方法的检出限均不大于该因子的筛选值。</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234" w:name="_Toc21819"/>
      <w:bookmarkStart w:id="235" w:name="_Toc22424"/>
      <w:r>
        <w:rPr>
          <w:rFonts w:hint="default" w:ascii="Times New Roman" w:hAnsi="Times New Roman" w:eastAsia="宋体" w:cs="Times New Roman"/>
          <w:color w:val="auto"/>
          <w:lang w:val="en-US" w:eastAsia="zh-CN"/>
        </w:rPr>
        <w:t>6.2.2 地下水检测结果筛选依据</w:t>
      </w:r>
      <w:bookmarkEnd w:id="234"/>
      <w:bookmarkEnd w:id="235"/>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地下水超标评价标准选用《地下水质量标准》(GBT14848-2017)中Ⅲ类标准。</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将场地地下水的分析检测结果与下列标准进行对比，通过对比分析了解场地中各种污染物浓度的大小程度。地下水中有检出的污染因子选用的筛选值见表6.2-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pPr>
        <w:pStyle w:val="2"/>
        <w:pageBreakBefore w:val="0"/>
        <w:kinsoku/>
        <w:wordWrap/>
        <w:overflowPunct/>
        <w:topLinePunct w:val="0"/>
        <w:autoSpaceDE/>
        <w:autoSpaceDN/>
        <w:bidi w:val="0"/>
        <w:spacing w:line="360" w:lineRule="auto"/>
        <w:ind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表6.2-2  本项目土壤检测结果选用评价值一览表</w:t>
      </w:r>
    </w:p>
    <w:tbl>
      <w:tblPr>
        <w:tblStyle w:val="16"/>
        <w:tblW w:w="48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3"/>
        <w:gridCol w:w="1816"/>
        <w:gridCol w:w="1422"/>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40" w:type="pct"/>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检测因子</w:t>
            </w:r>
          </w:p>
        </w:tc>
        <w:tc>
          <w:tcPr>
            <w:tcW w:w="1106" w:type="pct"/>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选用筛选值</w:t>
            </w:r>
          </w:p>
        </w:tc>
        <w:tc>
          <w:tcPr>
            <w:tcW w:w="866" w:type="pct"/>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586" w:type="pct"/>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参考来源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氨氮</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0.50</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restart"/>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地下水质量标准（GB/T 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硝酸盐</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20.0</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亚硝酸盐</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1.00</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挥发性酚类</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0.002</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总硬度</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450</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氟化物</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1.0</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镉</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0.005</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铁</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0.3</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溶解性总固体</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1000</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耗氧量</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3.0</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硫酸根</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250</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氯离子</w:t>
            </w:r>
          </w:p>
        </w:tc>
        <w:tc>
          <w:tcPr>
            <w:tcW w:w="1106"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250</w:t>
            </w:r>
          </w:p>
        </w:tc>
        <w:tc>
          <w:tcPr>
            <w:tcW w:w="866" w:type="pct"/>
            <w:noWrap w:val="0"/>
            <w:vAlign w:val="center"/>
          </w:tcPr>
          <w:p>
            <w:pPr>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1586" w:type="pct"/>
            <w:vMerge w:val="continue"/>
            <w:noWrap w:val="0"/>
            <w:vAlign w:val="center"/>
          </w:tcPr>
          <w:p>
            <w:pPr>
              <w:pageBreakBefore w:val="0"/>
              <w:widowControl/>
              <w:kinsoku/>
              <w:wordWrap/>
              <w:overflowPunct/>
              <w:topLinePunct w:val="0"/>
              <w:bidi w:val="0"/>
              <w:spacing w:line="360" w:lineRule="auto"/>
              <w:ind w:firstLine="0" w:firstLineChars="0"/>
              <w:jc w:val="center"/>
              <w:textAlignment w:val="center"/>
              <w:rPr>
                <w:rFonts w:hint="default" w:ascii="Times New Roman" w:hAnsi="Times New Roman" w:eastAsia="宋体" w:cs="Times New Roman"/>
                <w:color w:val="auto"/>
                <w:sz w:val="21"/>
                <w:szCs w:val="21"/>
              </w:rPr>
            </w:pPr>
          </w:p>
        </w:tc>
      </w:tr>
    </w:tbl>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236" w:name="_Toc3935"/>
      <w:bookmarkStart w:id="237" w:name="_Toc5985"/>
      <w:bookmarkStart w:id="238" w:name="_Toc10330"/>
      <w:bookmarkStart w:id="239" w:name="_Toc12601"/>
      <w:r>
        <w:rPr>
          <w:rFonts w:hint="default" w:ascii="Times New Roman" w:hAnsi="Times New Roman" w:eastAsia="宋体" w:cs="Times New Roman"/>
          <w:color w:val="auto"/>
          <w:sz w:val="28"/>
          <w:szCs w:val="28"/>
          <w:lang w:val="en-US" w:eastAsia="zh-CN"/>
        </w:rPr>
        <w:t>6.3 检测结果及统计情况</w:t>
      </w:r>
      <w:bookmarkEnd w:id="236"/>
      <w:bookmarkEnd w:id="237"/>
      <w:bookmarkEnd w:id="238"/>
      <w:bookmarkEnd w:id="239"/>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240" w:name="_Toc18424"/>
      <w:bookmarkStart w:id="241" w:name="_Toc12941"/>
      <w:r>
        <w:rPr>
          <w:rFonts w:hint="default" w:ascii="Times New Roman" w:hAnsi="Times New Roman" w:eastAsia="宋体" w:cs="Times New Roman"/>
          <w:color w:val="auto"/>
          <w:lang w:val="en-US" w:eastAsia="zh-CN"/>
        </w:rPr>
        <w:t>6.3.1 土壤检测结果及统计情况</w:t>
      </w:r>
      <w:bookmarkEnd w:id="240"/>
      <w:bookmarkEnd w:id="241"/>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6.3.1.1 检测结果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eastAsia="zh-CN"/>
        </w:rPr>
        <w:t>共布置</w:t>
      </w:r>
      <w:r>
        <w:rPr>
          <w:rFonts w:hint="default" w:ascii="Times New Roman" w:hAnsi="Times New Roman" w:eastAsia="宋体" w:cs="Times New Roman"/>
          <w:color w:val="auto"/>
          <w:lang w:val="en-US" w:eastAsia="zh-CN"/>
        </w:rPr>
        <w:t>5个土壤点位，共10组土壤样品。土壤样品检测因子为</w:t>
      </w:r>
      <w:r>
        <w:rPr>
          <w:rFonts w:hint="default" w:ascii="Times New Roman" w:hAnsi="Times New Roman" w:eastAsia="宋体" w:cs="Times New Roman"/>
          <w:color w:val="auto"/>
        </w:rPr>
        <w:t>《土壤环境质量 建设用地土壤污染风险管控标准（试行）》（GB</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36600-2018）</w:t>
      </w:r>
      <w:r>
        <w:rPr>
          <w:rFonts w:hint="default" w:ascii="Times New Roman" w:hAnsi="Times New Roman" w:eastAsia="宋体" w:cs="Times New Roman"/>
          <w:color w:val="auto"/>
          <w:lang w:eastAsia="zh-CN"/>
        </w:rPr>
        <w:t>中的</w:t>
      </w:r>
      <w:r>
        <w:rPr>
          <w:rFonts w:hint="default" w:ascii="Times New Roman" w:hAnsi="Times New Roman" w:eastAsia="宋体" w:cs="Times New Roman"/>
          <w:color w:val="auto"/>
          <w:lang w:val="en-US" w:eastAsia="zh-CN"/>
        </w:rPr>
        <w:t>必测45项及pH、TPH、锌。检测结果见表6.3-1。</w:t>
      </w: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pPr>
    </w:p>
    <w:p>
      <w:pPr>
        <w:pageBreakBefore w:val="0"/>
        <w:kinsoku/>
        <w:wordWrap/>
        <w:overflowPunct/>
        <w:topLinePunct w:val="0"/>
        <w:bidi w:val="0"/>
        <w:spacing w:line="360" w:lineRule="auto"/>
        <w:rPr>
          <w:rFonts w:hint="default" w:ascii="Times New Roman" w:hAnsi="Times New Roman" w:eastAsia="宋体" w:cs="Times New Roman"/>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ageBreakBefore w:val="0"/>
        <w:kinsoku/>
        <w:wordWrap/>
        <w:overflowPunct/>
        <w:topLinePunct w:val="0"/>
        <w:bidi w:val="0"/>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6.3-1  土壤样品</w:t>
      </w:r>
      <w:r>
        <w:rPr>
          <w:rFonts w:hint="default" w:ascii="Times New Roman" w:hAnsi="Times New Roman" w:eastAsia="宋体" w:cs="Times New Roman"/>
          <w:b/>
          <w:bCs/>
          <w:color w:val="auto"/>
          <w:lang w:eastAsia="zh-CN"/>
        </w:rPr>
        <w:t>检测结果</w:t>
      </w:r>
    </w:p>
    <w:tbl>
      <w:tblPr>
        <w:tblStyle w:val="17"/>
        <w:tblW w:w="14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771"/>
        <w:gridCol w:w="1107"/>
        <w:gridCol w:w="1172"/>
        <w:gridCol w:w="832"/>
        <w:gridCol w:w="832"/>
        <w:gridCol w:w="832"/>
        <w:gridCol w:w="832"/>
        <w:gridCol w:w="832"/>
        <w:gridCol w:w="832"/>
        <w:gridCol w:w="832"/>
        <w:gridCol w:w="832"/>
        <w:gridCol w:w="832"/>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36" w:type="dxa"/>
            <w:vMerge w:val="restar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分析指标</w:t>
            </w:r>
          </w:p>
        </w:tc>
        <w:tc>
          <w:tcPr>
            <w:tcW w:w="1771" w:type="dxa"/>
            <w:vMerge w:val="restar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方法</w:t>
            </w:r>
          </w:p>
        </w:tc>
        <w:tc>
          <w:tcPr>
            <w:tcW w:w="1107" w:type="dxa"/>
            <w:vMerge w:val="restar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检出限</w:t>
            </w:r>
          </w:p>
        </w:tc>
        <w:tc>
          <w:tcPr>
            <w:tcW w:w="1172" w:type="dxa"/>
            <w:vMerge w:val="restar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8320" w:type="dxa"/>
            <w:gridSpan w:val="10"/>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检测点位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836" w:type="dxa"/>
            <w:vMerge w:val="continue"/>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771" w:type="dxa"/>
            <w:vMerge w:val="continue"/>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107" w:type="dxa"/>
            <w:vMerge w:val="continue"/>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172" w:type="dxa"/>
            <w:vMerge w:val="continue"/>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S1-0.5</w:t>
            </w: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S1-2.5</w:t>
            </w: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S2-0.5</w:t>
            </w: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S2-2.5</w:t>
            </w: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S3-0.5</w:t>
            </w: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S3-2.5</w:t>
            </w: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S3-5.0</w:t>
            </w: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S4-0.5</w:t>
            </w: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S4-2.5</w:t>
            </w:r>
          </w:p>
        </w:tc>
        <w:tc>
          <w:tcPr>
            <w:tcW w:w="832" w:type="dxa"/>
            <w:vAlign w:val="center"/>
          </w:tcPr>
          <w:p>
            <w:pPr>
              <w:keepNext w:val="0"/>
              <w:keepLines w:val="0"/>
              <w:pageBreakBefore w:val="0"/>
              <w:widowControl/>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rPr>
              <w:t>S5-0.5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pH</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962-2018</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无量纲</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7.89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7.65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8.00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7.77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7.87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7.77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7.82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7.84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7.64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六价铬</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Q/JSSEP 0003S-2018</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0.5</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铜</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803-2016</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0.6</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33.4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27.8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23.7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30.4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28.8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36.1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46.5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33.9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镍</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803-2016</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锌</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803-2016</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66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铅</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803-2016</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镉</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803-2016</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0.09</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0.13</w:t>
            </w:r>
          </w:p>
        </w:tc>
        <w:tc>
          <w:tcPr>
            <w:tcW w:w="832"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val="0"/>
                <w:bCs w:val="0"/>
                <w:i w:val="0"/>
                <w:color w:val="auto"/>
                <w:sz w:val="21"/>
                <w:szCs w:val="21"/>
                <w:u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0.21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0.36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0.13</w:t>
            </w:r>
          </w:p>
        </w:tc>
        <w:tc>
          <w:tcPr>
            <w:tcW w:w="832"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宋体" w:cs="Times New Roman"/>
                <w:b w:val="0"/>
                <w:bCs w:val="0"/>
                <w:i w:val="0"/>
                <w:color w:val="auto"/>
                <w:sz w:val="21"/>
                <w:szCs w:val="21"/>
                <w:u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680-2013</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5.01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6.95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7.32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8.97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10.4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8.79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汞</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680-2013</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0.002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0.096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0.093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0.094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0.086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0.065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0.071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C10-C40</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ISO16703:2011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10</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1.9</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甲苯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1.3</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乙苯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间&amp;对-二甲苯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苯乙烯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邻二甲苯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1,2-二氯丙烷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氯甲烷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1.0</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氯乙烯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1.0</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1,1-二氯乙烯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1.0</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二氯甲烷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1.5</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反-1,2-二氯乙烯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1.4</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1,1-二氯乙烷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顺-1,2-二氯乙烯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1.3</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1,1,1-三氯乙烷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1.3</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四氯化碳</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1.3</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1,2-二氯乙烷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1.3</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三氯乙烯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1,1,2-三氯乙烷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四氯乙烯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1.4</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1,1,1,2-四氯乙烷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1,1,2,2-四氯乙烷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1,2,3-三氯丙烷</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氯苯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656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556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156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1,4-二氯苯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1.5</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259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273</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1,2-二氯苯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1.5</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297</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318</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氯仿</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605-2011</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1.1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μg/kg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2-氯酚</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0.06</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萘</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0.09</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苯并(a)蒽</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䓛</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苯并(b)荧蒽</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0.2</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苯并(k)荧蒽</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苯并(a)芘</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茚并(1,2,3-cd)芘</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二苯并(a,h)蒽</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0.1</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硝基苯</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HJ 834-2017</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0.09</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苯胺</w:t>
            </w:r>
          </w:p>
        </w:tc>
        <w:tc>
          <w:tcPr>
            <w:tcW w:w="17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Q/JSSEP 0005S-2018-2 (等同采用 EPA 8270E-2017&amp;EPA3545A-2000)</w:t>
            </w:r>
          </w:p>
        </w:tc>
        <w:tc>
          <w:tcPr>
            <w:tcW w:w="110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0.5</w:t>
            </w:r>
          </w:p>
        </w:tc>
        <w:tc>
          <w:tcPr>
            <w:tcW w:w="11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mg/kg</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c>
          <w:tcPr>
            <w:tcW w:w="8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val="0"/>
                <w:bCs w:val="0"/>
                <w:i w:val="0"/>
                <w:color w:val="auto"/>
                <w:sz w:val="21"/>
                <w:szCs w:val="21"/>
                <w:u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&lt;0.5</w:t>
            </w:r>
          </w:p>
        </w:tc>
      </w:tr>
    </w:tbl>
    <w:p>
      <w:pPr>
        <w:pStyle w:val="2"/>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lang w:val="en-US" w:eastAsia="zh-CN"/>
        </w:rPr>
      </w:pPr>
    </w:p>
    <w:p>
      <w:pPr>
        <w:pStyle w:val="3"/>
        <w:pageBreakBefore w:val="0"/>
        <w:kinsoku/>
        <w:wordWrap/>
        <w:overflowPunct/>
        <w:topLinePunct w:val="0"/>
        <w:bidi w:val="0"/>
        <w:spacing w:line="360" w:lineRule="auto"/>
        <w:rPr>
          <w:rFonts w:hint="default" w:ascii="Times New Roman" w:hAnsi="Times New Roman" w:eastAsia="宋体" w:cs="Times New Roman"/>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6.3.1.2 统计分析</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eastAsia="zh-CN"/>
        </w:rPr>
        <w:t>重金属</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场地内</w:t>
      </w:r>
      <w:r>
        <w:rPr>
          <w:rFonts w:hint="default" w:ascii="Times New Roman" w:hAnsi="Times New Roman" w:eastAsia="宋体" w:cs="Times New Roman"/>
          <w:color w:val="auto"/>
          <w:lang w:eastAsia="zh-CN"/>
        </w:rPr>
        <w:t>重金属中砷、镉、铜、汞、铅、镍有检出，检出率</w:t>
      </w:r>
      <w:r>
        <w:rPr>
          <w:rFonts w:hint="default" w:ascii="Times New Roman" w:hAnsi="Times New Roman" w:eastAsia="宋体" w:cs="Times New Roman"/>
          <w:color w:val="auto"/>
          <w:lang w:val="en-US" w:eastAsia="zh-CN"/>
        </w:rPr>
        <w:t>100%，但</w:t>
      </w:r>
      <w:r>
        <w:rPr>
          <w:rFonts w:hint="default" w:ascii="Times New Roman" w:hAnsi="Times New Roman" w:eastAsia="宋体" w:cs="Times New Roman"/>
          <w:color w:val="auto"/>
        </w:rPr>
        <w:t>各项因子的检出浓度均未超出《土壤环境质量  建设用地土壤污染风险管控标准（试行）》（GB36600-2018）中的第二类用地建设用地土壤污染风险筛选值。检测数据统计分析结果见表</w:t>
      </w:r>
      <w:r>
        <w:rPr>
          <w:rFonts w:hint="default" w:ascii="Times New Roman" w:hAnsi="Times New Roman" w:eastAsia="宋体" w:cs="Times New Roman"/>
          <w:color w:val="auto"/>
          <w:lang w:val="en-US" w:eastAsia="zh-CN"/>
        </w:rPr>
        <w:t>6.3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p>
      <w:pPr>
        <w:pageBreakBefore w:val="0"/>
        <w:kinsoku/>
        <w:wordWrap/>
        <w:overflowPunct/>
        <w:topLinePunct w:val="0"/>
        <w:autoSpaceDE w:val="0"/>
        <w:autoSpaceDN w:val="0"/>
        <w:bidi w:val="0"/>
        <w:adjustRightInd w:val="0"/>
        <w:spacing w:line="360" w:lineRule="auto"/>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b/>
          <w:color w:val="auto"/>
          <w:szCs w:val="21"/>
          <w:lang w:val="en-US" w:eastAsia="zh-CN"/>
        </w:rPr>
        <w:t>表6</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3</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 xml:space="preserve">2  </w:t>
      </w:r>
      <w:r>
        <w:rPr>
          <w:rFonts w:hint="default" w:ascii="Times New Roman" w:hAnsi="Times New Roman" w:eastAsia="宋体" w:cs="Times New Roman"/>
          <w:b/>
          <w:color w:val="auto"/>
          <w:szCs w:val="21"/>
        </w:rPr>
        <w:t>场地内重金属检测数据统计结果</w:t>
      </w:r>
    </w:p>
    <w:tbl>
      <w:tblPr>
        <w:tblStyle w:val="16"/>
        <w:tblW w:w="84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15"/>
        <w:gridCol w:w="849"/>
        <w:gridCol w:w="849"/>
        <w:gridCol w:w="932"/>
        <w:gridCol w:w="1426"/>
        <w:gridCol w:w="715"/>
        <w:gridCol w:w="873"/>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6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项目</w:t>
            </w:r>
          </w:p>
        </w:tc>
        <w:tc>
          <w:tcPr>
            <w:tcW w:w="121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筛选值（mg/kg）</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送检数</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检出数</w:t>
            </w:r>
          </w:p>
        </w:tc>
        <w:tc>
          <w:tcPr>
            <w:tcW w:w="93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检出率（%）</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浓度范围（mg/kg）</w:t>
            </w:r>
          </w:p>
        </w:tc>
        <w:tc>
          <w:tcPr>
            <w:tcW w:w="7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标准差</w:t>
            </w:r>
          </w:p>
        </w:tc>
        <w:tc>
          <w:tcPr>
            <w:tcW w:w="87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95%置信上限</w:t>
            </w:r>
          </w:p>
        </w:tc>
        <w:tc>
          <w:tcPr>
            <w:tcW w:w="896"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铜</w:t>
            </w:r>
          </w:p>
        </w:tc>
        <w:tc>
          <w:tcPr>
            <w:tcW w:w="12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18000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100</w:t>
            </w:r>
          </w:p>
        </w:tc>
        <w:tc>
          <w:tcPr>
            <w:tcW w:w="142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23.2-46.5</w:t>
            </w:r>
          </w:p>
        </w:tc>
        <w:tc>
          <w:tcPr>
            <w:tcW w:w="7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6.95</w:t>
            </w:r>
          </w:p>
        </w:tc>
        <w:tc>
          <w:tcPr>
            <w:tcW w:w="87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35.95</w:t>
            </w:r>
          </w:p>
        </w:tc>
        <w:tc>
          <w:tcPr>
            <w:tcW w:w="89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镍</w:t>
            </w:r>
          </w:p>
        </w:tc>
        <w:tc>
          <w:tcPr>
            <w:tcW w:w="12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900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100</w:t>
            </w:r>
          </w:p>
        </w:tc>
        <w:tc>
          <w:tcPr>
            <w:tcW w:w="142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20-37</w:t>
            </w:r>
          </w:p>
        </w:tc>
        <w:tc>
          <w:tcPr>
            <w:tcW w:w="7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5.48</w:t>
            </w:r>
          </w:p>
        </w:tc>
        <w:tc>
          <w:tcPr>
            <w:tcW w:w="87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33.52</w:t>
            </w:r>
          </w:p>
        </w:tc>
        <w:tc>
          <w:tcPr>
            <w:tcW w:w="89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铅</w:t>
            </w:r>
          </w:p>
        </w:tc>
        <w:tc>
          <w:tcPr>
            <w:tcW w:w="12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800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100</w:t>
            </w:r>
          </w:p>
        </w:tc>
        <w:tc>
          <w:tcPr>
            <w:tcW w:w="142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9-30</w:t>
            </w:r>
          </w:p>
        </w:tc>
        <w:tc>
          <w:tcPr>
            <w:tcW w:w="7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w:t>
            </w:r>
          </w:p>
        </w:tc>
        <w:tc>
          <w:tcPr>
            <w:tcW w:w="87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22.36</w:t>
            </w:r>
          </w:p>
        </w:tc>
        <w:tc>
          <w:tcPr>
            <w:tcW w:w="89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镉</w:t>
            </w:r>
          </w:p>
        </w:tc>
        <w:tc>
          <w:tcPr>
            <w:tcW w:w="12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65</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100</w:t>
            </w:r>
          </w:p>
        </w:tc>
        <w:tc>
          <w:tcPr>
            <w:tcW w:w="142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0.09-0.36</w:t>
            </w:r>
          </w:p>
        </w:tc>
        <w:tc>
          <w:tcPr>
            <w:tcW w:w="7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0.09</w:t>
            </w:r>
          </w:p>
        </w:tc>
        <w:tc>
          <w:tcPr>
            <w:tcW w:w="87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0.23</w:t>
            </w:r>
          </w:p>
        </w:tc>
        <w:tc>
          <w:tcPr>
            <w:tcW w:w="89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砷</w:t>
            </w:r>
          </w:p>
        </w:tc>
        <w:tc>
          <w:tcPr>
            <w:tcW w:w="12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60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100</w:t>
            </w:r>
          </w:p>
        </w:tc>
        <w:tc>
          <w:tcPr>
            <w:tcW w:w="142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5.01-11.9</w:t>
            </w:r>
          </w:p>
        </w:tc>
        <w:tc>
          <w:tcPr>
            <w:tcW w:w="7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2.07</w:t>
            </w:r>
          </w:p>
        </w:tc>
        <w:tc>
          <w:tcPr>
            <w:tcW w:w="87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10.35</w:t>
            </w:r>
          </w:p>
        </w:tc>
        <w:tc>
          <w:tcPr>
            <w:tcW w:w="89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汞</w:t>
            </w:r>
          </w:p>
        </w:tc>
        <w:tc>
          <w:tcPr>
            <w:tcW w:w="12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38</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100</w:t>
            </w:r>
          </w:p>
        </w:tc>
        <w:tc>
          <w:tcPr>
            <w:tcW w:w="142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0.063-0.11</w:t>
            </w:r>
          </w:p>
        </w:tc>
        <w:tc>
          <w:tcPr>
            <w:tcW w:w="7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0.01</w:t>
            </w:r>
          </w:p>
        </w:tc>
        <w:tc>
          <w:tcPr>
            <w:tcW w:w="87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0.09</w:t>
            </w:r>
          </w:p>
        </w:tc>
        <w:tc>
          <w:tcPr>
            <w:tcW w:w="89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r>
    </w:tbl>
    <w:p>
      <w:pPr>
        <w:pageBreakBefore w:val="0"/>
        <w:kinsoku/>
        <w:wordWrap/>
        <w:overflowPunct/>
        <w:topLinePunct w:val="0"/>
        <w:autoSpaceDE/>
        <w:autoSpaceDN/>
        <w:bidi w:val="0"/>
        <w:spacing w:line="360" w:lineRule="auto"/>
        <w:ind w:left="0" w:leftChars="0" w:firstLine="0" w:firstLineChars="0"/>
        <w:rPr>
          <w:rFonts w:hint="default" w:ascii="Times New Roman" w:hAnsi="Times New Roman" w:eastAsia="宋体" w:cs="Times New Roman"/>
          <w:color w:val="auto"/>
          <w:sz w:val="24"/>
          <w:szCs w:val="24"/>
        </w:rPr>
      </w:pPr>
      <w:bookmarkStart w:id="242" w:name="_Toc23244"/>
      <w:bookmarkStart w:id="243" w:name="_Toc30404"/>
      <w:bookmarkStart w:id="244" w:name="_Toc5902"/>
      <w:bookmarkStart w:id="245" w:name="_Toc17520"/>
      <w:bookmarkStart w:id="246" w:name="_Toc20804"/>
      <w:bookmarkStart w:id="247" w:name="_Toc20310"/>
      <w:bookmarkStart w:id="248" w:name="_Toc22452"/>
      <w:bookmarkStart w:id="249" w:name="_Toc22438"/>
      <w:r>
        <w:rPr>
          <w:rFonts w:hint="default" w:ascii="Times New Roman" w:hAnsi="Times New Roman" w:eastAsia="宋体" w:cs="Times New Roman"/>
          <w:color w:val="auto"/>
          <w:sz w:val="24"/>
          <w:szCs w:val="24"/>
        </w:rPr>
        <w:t>（2）挥发性有机物（VOCs）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场地内VOCs中氯苯、1,4-二氯苯、1,2-二氯苯有检出，其中氯苯检出率30%，1,4-二氯苯检出率30%，1,2-二氯苯检出率20%。各项</w:t>
      </w:r>
      <w:r>
        <w:rPr>
          <w:rFonts w:hint="default" w:ascii="Times New Roman" w:hAnsi="Times New Roman" w:eastAsia="宋体" w:cs="Times New Roman"/>
          <w:color w:val="auto"/>
        </w:rPr>
        <w:t>因子的检出浓度均未超出《土壤环境质量  建设用地土壤污染风险管控标准（试行）》（GB</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36600-2018）中的第二类用地的建设用地土壤污染风险筛选值</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检测数据统计分析结果见表</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p>
    <w:p>
      <w:pPr>
        <w:pageBreakBefore w:val="0"/>
        <w:kinsoku/>
        <w:wordWrap/>
        <w:overflowPunct/>
        <w:topLinePunct w:val="0"/>
        <w:autoSpaceDE w:val="0"/>
        <w:autoSpaceDN w:val="0"/>
        <w:bidi w:val="0"/>
        <w:adjustRightInd w:val="0"/>
        <w:spacing w:line="360" w:lineRule="auto"/>
        <w:ind w:left="0" w:leftChars="0"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default" w:ascii="Times New Roman" w:hAnsi="Times New Roman" w:eastAsia="宋体" w:cs="Times New Roman"/>
          <w:b/>
          <w:color w:val="auto"/>
          <w:szCs w:val="21"/>
          <w:lang w:val="en-US" w:eastAsia="zh-CN"/>
        </w:rPr>
        <w:t>6</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3</w:t>
      </w: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 xml:space="preserve">3  </w:t>
      </w:r>
      <w:r>
        <w:rPr>
          <w:rFonts w:hint="default" w:ascii="Times New Roman" w:hAnsi="Times New Roman" w:eastAsia="宋体" w:cs="Times New Roman"/>
          <w:b/>
          <w:color w:val="auto"/>
          <w:szCs w:val="21"/>
        </w:rPr>
        <w:t>场地内</w:t>
      </w:r>
      <w:r>
        <w:rPr>
          <w:rFonts w:hint="default" w:ascii="Times New Roman" w:hAnsi="Times New Roman" w:eastAsia="宋体" w:cs="Times New Roman"/>
          <w:b/>
          <w:color w:val="auto"/>
          <w:szCs w:val="21"/>
          <w:lang w:val="en-US" w:eastAsia="zh-CN"/>
        </w:rPr>
        <w:t>VOCS</w:t>
      </w:r>
      <w:r>
        <w:rPr>
          <w:rFonts w:hint="default" w:ascii="Times New Roman" w:hAnsi="Times New Roman" w:eastAsia="宋体" w:cs="Times New Roman"/>
          <w:b/>
          <w:color w:val="auto"/>
          <w:szCs w:val="21"/>
        </w:rPr>
        <w:t>检测数据统计结果</w:t>
      </w:r>
    </w:p>
    <w:tbl>
      <w:tblPr>
        <w:tblStyle w:val="16"/>
        <w:tblW w:w="8767"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118"/>
        <w:gridCol w:w="801"/>
        <w:gridCol w:w="792"/>
        <w:gridCol w:w="932"/>
        <w:gridCol w:w="1143"/>
        <w:gridCol w:w="883"/>
        <w:gridCol w:w="1100"/>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14"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项目</w:t>
            </w:r>
          </w:p>
        </w:tc>
        <w:tc>
          <w:tcPr>
            <w:tcW w:w="1118"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筛选值（mg/kg）</w:t>
            </w:r>
          </w:p>
        </w:tc>
        <w:tc>
          <w:tcPr>
            <w:tcW w:w="801"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送检数</w:t>
            </w:r>
          </w:p>
        </w:tc>
        <w:tc>
          <w:tcPr>
            <w:tcW w:w="79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检出数</w:t>
            </w:r>
          </w:p>
        </w:tc>
        <w:tc>
          <w:tcPr>
            <w:tcW w:w="93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检出率（%）</w:t>
            </w:r>
          </w:p>
        </w:tc>
        <w:tc>
          <w:tcPr>
            <w:tcW w:w="114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浓度范围（</w:t>
            </w:r>
            <w:r>
              <w:rPr>
                <w:rFonts w:hint="default" w:ascii="Times New Roman" w:hAnsi="Times New Roman" w:eastAsia="宋体" w:cs="Times New Roman"/>
                <w:color w:val="auto"/>
                <w:sz w:val="22"/>
                <w:szCs w:val="22"/>
                <w:lang w:val="en-US" w:eastAsia="zh-CN"/>
              </w:rPr>
              <w:t>μg/kg</w:t>
            </w:r>
            <w:r>
              <w:rPr>
                <w:rFonts w:hint="default" w:ascii="Times New Roman" w:hAnsi="Times New Roman" w:eastAsia="宋体" w:cs="Times New Roman"/>
                <w:b/>
                <w:color w:val="auto"/>
                <w:kern w:val="0"/>
                <w:sz w:val="21"/>
                <w:szCs w:val="21"/>
              </w:rPr>
              <w:t>）</w:t>
            </w:r>
          </w:p>
        </w:tc>
        <w:tc>
          <w:tcPr>
            <w:tcW w:w="88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标准差</w:t>
            </w:r>
          </w:p>
        </w:tc>
        <w:tc>
          <w:tcPr>
            <w:tcW w:w="1100"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95%置信上限</w:t>
            </w:r>
          </w:p>
        </w:tc>
        <w:tc>
          <w:tcPr>
            <w:tcW w:w="784"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214"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氯苯</w:t>
            </w:r>
          </w:p>
        </w:tc>
        <w:tc>
          <w:tcPr>
            <w:tcW w:w="1118"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270</w:t>
            </w:r>
          </w:p>
        </w:tc>
        <w:tc>
          <w:tcPr>
            <w:tcW w:w="801"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79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w:t>
            </w:r>
          </w:p>
        </w:tc>
        <w:tc>
          <w:tcPr>
            <w:tcW w:w="114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156-656</w:t>
            </w:r>
          </w:p>
        </w:tc>
        <w:tc>
          <w:tcPr>
            <w:tcW w:w="88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264.58</w:t>
            </w:r>
          </w:p>
        </w:tc>
        <w:tc>
          <w:tcPr>
            <w:tcW w:w="1100"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654.27</w:t>
            </w:r>
          </w:p>
        </w:tc>
        <w:tc>
          <w:tcPr>
            <w:tcW w:w="784"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214"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1,4-二氯苯</w:t>
            </w:r>
          </w:p>
        </w:tc>
        <w:tc>
          <w:tcPr>
            <w:tcW w:w="1118"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w:t>
            </w:r>
          </w:p>
        </w:tc>
        <w:tc>
          <w:tcPr>
            <w:tcW w:w="801"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79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w:t>
            </w:r>
          </w:p>
        </w:tc>
        <w:tc>
          <w:tcPr>
            <w:tcW w:w="114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115-273</w:t>
            </w:r>
          </w:p>
        </w:tc>
        <w:tc>
          <w:tcPr>
            <w:tcW w:w="88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87.46</w:t>
            </w:r>
          </w:p>
        </w:tc>
        <w:tc>
          <w:tcPr>
            <w:tcW w:w="1100"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278.23</w:t>
            </w:r>
          </w:p>
        </w:tc>
        <w:tc>
          <w:tcPr>
            <w:tcW w:w="784"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214"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1,2-二氯苯</w:t>
            </w:r>
          </w:p>
        </w:tc>
        <w:tc>
          <w:tcPr>
            <w:tcW w:w="1118"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560</w:t>
            </w:r>
          </w:p>
        </w:tc>
        <w:tc>
          <w:tcPr>
            <w:tcW w:w="801"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79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w:t>
            </w:r>
          </w:p>
        </w:tc>
        <w:tc>
          <w:tcPr>
            <w:tcW w:w="114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297-318</w:t>
            </w:r>
          </w:p>
        </w:tc>
        <w:tc>
          <w:tcPr>
            <w:tcW w:w="88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14.85</w:t>
            </w:r>
          </w:p>
        </w:tc>
        <w:tc>
          <w:tcPr>
            <w:tcW w:w="1100"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318.12</w:t>
            </w:r>
          </w:p>
        </w:tc>
        <w:tc>
          <w:tcPr>
            <w:tcW w:w="784"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r>
    </w:tbl>
    <w:p>
      <w:pPr>
        <w:pageBreakBefore w:val="0"/>
        <w:numPr>
          <w:ilvl w:val="0"/>
          <w:numId w:val="5"/>
        </w:numPr>
        <w:kinsoku/>
        <w:wordWrap/>
        <w:overflowPunct/>
        <w:topLinePunct w:val="0"/>
        <w:bidi w:val="0"/>
        <w:spacing w:line="360" w:lineRule="auto"/>
        <w:ind w:left="0" w:leftChars="0" w:firstLine="0" w:firstLineChars="0"/>
        <w:rPr>
          <w:rFonts w:hint="default" w:ascii="Times New Roman" w:hAnsi="Times New Roman" w:eastAsia="宋体" w:cs="Times New Roman"/>
          <w:color w:val="auto"/>
          <w:lang w:eastAsia="zh-CN"/>
        </w:rPr>
      </w:pPr>
      <w:bookmarkStart w:id="250" w:name="_Toc27218"/>
      <w:bookmarkStart w:id="251" w:name="_Toc25326"/>
      <w:bookmarkStart w:id="252" w:name="_Toc19733"/>
      <w:r>
        <w:rPr>
          <w:rFonts w:hint="default" w:ascii="Times New Roman" w:hAnsi="Times New Roman" w:eastAsia="宋体" w:cs="Times New Roman"/>
          <w:color w:val="auto"/>
          <w:sz w:val="24"/>
          <w:szCs w:val="24"/>
          <w:lang w:eastAsia="zh-CN"/>
        </w:rPr>
        <w:t>半</w:t>
      </w:r>
      <w:r>
        <w:rPr>
          <w:rFonts w:hint="default" w:ascii="Times New Roman" w:hAnsi="Times New Roman" w:eastAsia="宋体" w:cs="Times New Roman"/>
          <w:color w:val="auto"/>
          <w:sz w:val="24"/>
          <w:szCs w:val="24"/>
        </w:rPr>
        <w:t>挥发性有机物（</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rPr>
        <w:t>VOCs）</w:t>
      </w:r>
    </w:p>
    <w:p>
      <w:pPr>
        <w:pStyle w:val="2"/>
        <w:pageBreakBefore w:val="0"/>
        <w:kinsoku/>
        <w:wordWrap/>
        <w:overflowPunct/>
        <w:topLinePunct w:val="0"/>
        <w:bidi w:val="0"/>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场地内SVOCs中</w:t>
      </w:r>
      <w:r>
        <w:rPr>
          <w:rFonts w:hint="default" w:ascii="Times New Roman" w:hAnsi="Times New Roman" w:eastAsia="宋体" w:cs="Times New Roman"/>
          <w:color w:val="auto"/>
          <w:lang w:eastAsia="zh-CN"/>
        </w:rPr>
        <w:t>2-氯酚、萘、苯并(a)蒽、䓛、苯并(b)荧蒽、苯并(k)荧蒽、苯并(a)芘、茚并(1,2,3-cd)芘、二苯并(a,h)蒽、硝基苯和苯胺等因子均未检出。</w:t>
      </w:r>
    </w:p>
    <w:p>
      <w:pPr>
        <w:pageBreakBefore w:val="0"/>
        <w:numPr>
          <w:ilvl w:val="0"/>
          <w:numId w:val="5"/>
        </w:numPr>
        <w:kinsoku/>
        <w:wordWrap/>
        <w:overflowPunct/>
        <w:topLinePunct w:val="0"/>
        <w:bidi w:val="0"/>
        <w:spacing w:line="360" w:lineRule="auto"/>
        <w:ind w:left="0" w:leftChars="0"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其他检测因子</w:t>
      </w:r>
    </w:p>
    <w:p>
      <w:pPr>
        <w:pStyle w:val="2"/>
        <w:pageBreakBefore w:val="0"/>
        <w:numPr>
          <w:ilvl w:val="0"/>
          <w:numId w:val="0"/>
        </w:numPr>
        <w:kinsoku/>
        <w:wordWrap/>
        <w:overflowPunct/>
        <w:topLinePunct w:val="0"/>
        <w:bidi w:val="0"/>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①石油烃</w:t>
      </w:r>
    </w:p>
    <w:p>
      <w:pPr>
        <w:pStyle w:val="2"/>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只在</w:t>
      </w:r>
      <w:r>
        <w:rPr>
          <w:rFonts w:hint="default" w:ascii="Times New Roman" w:hAnsi="Times New Roman" w:eastAsia="宋体" w:cs="Times New Roman"/>
          <w:color w:val="auto"/>
          <w:lang w:val="en-US" w:eastAsia="zh-CN"/>
        </w:rPr>
        <w:t>S3-0.5以及S4-2.5两个土壤样品中</w:t>
      </w:r>
      <w:r>
        <w:rPr>
          <w:rFonts w:hint="default" w:ascii="Times New Roman" w:hAnsi="Times New Roman" w:eastAsia="宋体" w:cs="Times New Roman"/>
          <w:color w:val="auto"/>
          <w:lang w:eastAsia="zh-CN"/>
        </w:rPr>
        <w:t>石油烃C10-C40有检出，检出值分别为</w:t>
      </w:r>
      <w:r>
        <w:rPr>
          <w:rFonts w:hint="default" w:ascii="Times New Roman" w:hAnsi="Times New Roman" w:eastAsia="宋体" w:cs="Times New Roman"/>
          <w:color w:val="auto"/>
          <w:lang w:val="en-US" w:eastAsia="zh-CN"/>
        </w:rPr>
        <w:t>15mg/kg和12mg/kg，检出值均未超出</w:t>
      </w:r>
      <w:r>
        <w:rPr>
          <w:rFonts w:hint="default" w:ascii="Times New Roman" w:hAnsi="Times New Roman" w:eastAsia="宋体" w:cs="Times New Roman"/>
          <w:color w:val="auto"/>
        </w:rPr>
        <w:t>《土壤环境质量  建设用地土壤污染风险管控标准（试行）》（GB36600-2018）中的第二类建设用地</w:t>
      </w:r>
      <w:r>
        <w:rPr>
          <w:rFonts w:hint="default" w:ascii="Times New Roman" w:hAnsi="Times New Roman" w:eastAsia="宋体" w:cs="Times New Roman"/>
          <w:color w:val="auto"/>
          <w:lang w:eastAsia="zh-CN"/>
        </w:rPr>
        <w:t>中石油烃的</w:t>
      </w:r>
      <w:r>
        <w:rPr>
          <w:rFonts w:hint="default" w:ascii="Times New Roman" w:hAnsi="Times New Roman" w:eastAsia="宋体" w:cs="Times New Roman"/>
          <w:color w:val="auto"/>
        </w:rPr>
        <w:t>污染风险筛选值</w:t>
      </w:r>
      <w:r>
        <w:rPr>
          <w:rFonts w:hint="default" w:ascii="Times New Roman" w:hAnsi="Times New Roman" w:eastAsia="宋体" w:cs="Times New Roman"/>
          <w:color w:val="auto"/>
          <w:lang w:val="en-US" w:eastAsia="zh-CN"/>
        </w:rPr>
        <w:t>4500mg/kg</w:t>
      </w:r>
      <w:r>
        <w:rPr>
          <w:rFonts w:hint="default" w:ascii="Times New Roman" w:hAnsi="Times New Roman" w:eastAsia="宋体" w:cs="Times New Roman"/>
          <w:color w:val="auto"/>
        </w:rPr>
        <w:t>。</w:t>
      </w:r>
    </w:p>
    <w:p>
      <w:pPr>
        <w:pStyle w:val="2"/>
        <w:pageBreakBefore w:val="0"/>
        <w:numPr>
          <w:ilvl w:val="0"/>
          <w:numId w:val="0"/>
        </w:numPr>
        <w:kinsoku/>
        <w:wordWrap/>
        <w:overflowPunct/>
        <w:topLinePunct w:val="0"/>
        <w:bidi w:val="0"/>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②锌</w:t>
      </w:r>
    </w:p>
    <w:p>
      <w:pPr>
        <w:pStyle w:val="2"/>
        <w:pageBreakBefore w:val="0"/>
        <w:numPr>
          <w:ilvl w:val="0"/>
          <w:numId w:val="0"/>
        </w:numPr>
        <w:kinsoku/>
        <w:wordWrap/>
        <w:overflowPunct/>
        <w:topLinePunct w:val="0"/>
        <w:bidi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检测结果显示锌在各个点位均有检出，但未超计算得出的风险筛选值（</w:t>
      </w:r>
      <w:r>
        <w:rPr>
          <w:rFonts w:hint="default" w:ascii="Times New Roman" w:hAnsi="Times New Roman" w:eastAsia="宋体" w:cs="Times New Roman"/>
          <w:color w:val="auto"/>
          <w:lang w:val="en-US" w:eastAsia="zh-CN"/>
        </w:rPr>
        <w:t>9070</w:t>
      </w:r>
      <w:r>
        <w:rPr>
          <w:rFonts w:hint="default" w:ascii="Times New Roman" w:hAnsi="Times New Roman" w:eastAsia="宋体" w:cs="Times New Roman"/>
          <w:color w:val="auto"/>
        </w:rPr>
        <w:t>mg/kg</w:t>
      </w:r>
      <w:r>
        <w:rPr>
          <w:rFonts w:hint="default" w:ascii="Times New Roman" w:hAnsi="Times New Roman" w:eastAsia="宋体" w:cs="Times New Roman"/>
          <w:color w:val="auto"/>
          <w:lang w:eastAsia="zh-CN"/>
        </w:rPr>
        <w:t>），计算结果详见附件。</w:t>
      </w:r>
    </w:p>
    <w:tbl>
      <w:tblPr>
        <w:tblStyle w:val="16"/>
        <w:tblW w:w="84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15"/>
        <w:gridCol w:w="849"/>
        <w:gridCol w:w="849"/>
        <w:gridCol w:w="932"/>
        <w:gridCol w:w="1426"/>
        <w:gridCol w:w="715"/>
        <w:gridCol w:w="873"/>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6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项目</w:t>
            </w:r>
          </w:p>
        </w:tc>
        <w:tc>
          <w:tcPr>
            <w:tcW w:w="121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筛选值（mg/kg）</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送检数</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检出数</w:t>
            </w:r>
          </w:p>
        </w:tc>
        <w:tc>
          <w:tcPr>
            <w:tcW w:w="93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检出率（%）</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浓度范围（mg/kg）</w:t>
            </w:r>
          </w:p>
        </w:tc>
        <w:tc>
          <w:tcPr>
            <w:tcW w:w="7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标准差</w:t>
            </w:r>
          </w:p>
        </w:tc>
        <w:tc>
          <w:tcPr>
            <w:tcW w:w="87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95%置信上限</w:t>
            </w:r>
          </w:p>
        </w:tc>
        <w:tc>
          <w:tcPr>
            <w:tcW w:w="896"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锌</w:t>
            </w:r>
          </w:p>
        </w:tc>
        <w:tc>
          <w:tcPr>
            <w:tcW w:w="12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9070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49"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932"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100</w:t>
            </w:r>
          </w:p>
        </w:tc>
        <w:tc>
          <w:tcPr>
            <w:tcW w:w="142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66-88</w:t>
            </w:r>
          </w:p>
        </w:tc>
        <w:tc>
          <w:tcPr>
            <w:tcW w:w="715"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7.45</w:t>
            </w:r>
          </w:p>
        </w:tc>
        <w:tc>
          <w:tcPr>
            <w:tcW w:w="873"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84.53</w:t>
            </w:r>
          </w:p>
        </w:tc>
        <w:tc>
          <w:tcPr>
            <w:tcW w:w="896" w:type="dxa"/>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0</w:t>
            </w:r>
          </w:p>
        </w:tc>
      </w:tr>
    </w:tbl>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253" w:name="_Toc12567"/>
      <w:r>
        <w:rPr>
          <w:rFonts w:hint="default" w:ascii="Times New Roman" w:hAnsi="Times New Roman" w:eastAsia="宋体" w:cs="Times New Roman"/>
          <w:color w:val="auto"/>
          <w:lang w:val="en-US" w:eastAsia="zh-CN"/>
        </w:rPr>
        <w:t>6.3.2 地下水检测结果及统计情况</w:t>
      </w:r>
      <w:bookmarkEnd w:id="250"/>
      <w:bookmarkEnd w:id="253"/>
    </w:p>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6.3.2.1 检测结果</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eastAsia="zh-CN"/>
        </w:rPr>
        <w:t>共布置</w:t>
      </w:r>
      <w:r>
        <w:rPr>
          <w:rFonts w:hint="default" w:ascii="Times New Roman" w:hAnsi="Times New Roman" w:eastAsia="宋体" w:cs="Times New Roman"/>
          <w:color w:val="auto"/>
          <w:lang w:val="en-US" w:eastAsia="zh-CN"/>
        </w:rPr>
        <w:t>1个地下水点位，地下水样品检测因子为：pH、氨氮、硝酸盐、亚硝酸盐、挥发性酚类、氰化物、砷、汞、铬(六价)、总硬度、铅、氟、镉、铁、锰、溶解性总固体、高锰酸盐指数、硫酸盐、氯化物、石油类和锌等21项指标。检测</w:t>
      </w:r>
      <w:r>
        <w:rPr>
          <w:rFonts w:hint="default" w:ascii="Times New Roman" w:hAnsi="Times New Roman" w:eastAsia="宋体" w:cs="Times New Roman"/>
          <w:color w:val="auto"/>
          <w:sz w:val="24"/>
          <w:szCs w:val="24"/>
        </w:rPr>
        <w:t>数据见表6.3-</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pPr>
        <w:pageBreakBefore w:val="0"/>
        <w:kinsoku/>
        <w:wordWrap/>
        <w:overflowPunct/>
        <w:topLinePunct w:val="0"/>
        <w:autoSpaceDE/>
        <w:autoSpaceDN/>
        <w:bidi w:val="0"/>
        <w:spacing w:line="360" w:lineRule="auto"/>
        <w:ind w:firstLine="48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表6.3-</w:t>
      </w:r>
      <w:r>
        <w:rPr>
          <w:rFonts w:hint="default" w:ascii="Times New Roman" w:hAnsi="Times New Roman" w:eastAsia="宋体" w:cs="Times New Roman"/>
          <w:b/>
          <w:bCs/>
          <w:color w:val="auto"/>
          <w:sz w:val="24"/>
          <w:szCs w:val="24"/>
          <w:lang w:val="en-US" w:eastAsia="zh-CN"/>
        </w:rPr>
        <w:t xml:space="preserve">5  </w:t>
      </w:r>
      <w:r>
        <w:rPr>
          <w:rFonts w:hint="default" w:ascii="Times New Roman" w:hAnsi="Times New Roman" w:eastAsia="宋体" w:cs="Times New Roman"/>
          <w:b/>
          <w:bCs/>
          <w:color w:val="auto"/>
          <w:sz w:val="24"/>
          <w:szCs w:val="24"/>
          <w:lang w:eastAsia="zh-CN"/>
        </w:rPr>
        <w:t>地下水</w:t>
      </w:r>
      <w:r>
        <w:rPr>
          <w:rFonts w:hint="default" w:ascii="Times New Roman" w:hAnsi="Times New Roman" w:eastAsia="宋体" w:cs="Times New Roman"/>
          <w:b/>
          <w:bCs/>
          <w:color w:val="auto"/>
          <w:sz w:val="24"/>
          <w:szCs w:val="24"/>
        </w:rPr>
        <w:t>检测结果</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3435"/>
        <w:gridCol w:w="1034"/>
        <w:gridCol w:w="949"/>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分析指标</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方法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检出限</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单位</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pH</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玻璃电极法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氨氮</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纳氏试剂分光光度法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0.02</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硝酸盐</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紫外分光光度法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0.2</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亚硝酸盐</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重氮偶合分光光度法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 xml:space="preserve">0.001 </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挥发性酚类</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萃取分光光度法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0.00</w:t>
            </w:r>
            <w:r>
              <w:rPr>
                <w:rFonts w:hint="default" w:ascii="Times New Roman" w:hAnsi="Times New Roman" w:eastAsia="宋体" w:cs="Times New Roman"/>
                <w:color w:val="auto"/>
                <w:sz w:val="21"/>
                <w:szCs w:val="21"/>
                <w:lang w:val="en-US" w:eastAsia="zh-CN"/>
              </w:rPr>
              <w:t>03</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氰化物</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异烟酸-巴比妥酸分光光度法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0.00</w:t>
            </w:r>
            <w:r>
              <w:rPr>
                <w:rFonts w:hint="default" w:ascii="Times New Roman" w:hAnsi="Times New Roman" w:eastAsia="宋体" w:cs="Times New Roman"/>
                <w:color w:val="auto"/>
                <w:sz w:val="21"/>
                <w:szCs w:val="21"/>
                <w:lang w:val="en-US" w:eastAsia="zh-CN"/>
              </w:rPr>
              <w:t>2</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 xml:space="preserve"> 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总硬度</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乙二胺四乙酸二钠滴定法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1.0</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氟化物</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离子选择电极法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0.2</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砷</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原子荧光法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0.3</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μg/L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汞</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原子荧光法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0.04</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μg/L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六价铬</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color w:val="auto"/>
                <w:kern w:val="0"/>
                <w:sz w:val="21"/>
                <w:szCs w:val="21"/>
                <w:u w:val="none"/>
                <w:lang w:val="en-US" w:eastAsia="zh-CN" w:bidi="ar"/>
              </w:rPr>
              <w:t>二苯碳酰二肼分光光度法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0.004</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铅</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color w:val="auto"/>
                <w:kern w:val="0"/>
                <w:sz w:val="21"/>
                <w:szCs w:val="21"/>
                <w:u w:val="none"/>
                <w:lang w:val="en-US" w:eastAsia="zh-CN" w:bidi="ar"/>
              </w:rPr>
              <w:t>无火焰原子吸收分光光度法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 xml:space="preserve">2.5 </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μg/L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镉</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color w:val="auto"/>
                <w:kern w:val="0"/>
                <w:sz w:val="21"/>
                <w:szCs w:val="21"/>
                <w:u w:val="none"/>
                <w:lang w:val="en-US" w:eastAsia="zh-CN" w:bidi="ar"/>
              </w:rPr>
              <w:t>无火焰原子吸收分光光度法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0.5</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μg/L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铁</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highlight w:val="none"/>
                <w:lang w:val="en-US" w:eastAsia="zh-CN"/>
              </w:rPr>
              <w:t>火焰原子吸收分光光度法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lang w:val="en-US" w:eastAsia="zh-CN"/>
              </w:rPr>
              <w:t>0.03</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锰</w:t>
            </w:r>
          </w:p>
        </w:tc>
        <w:tc>
          <w:tcPr>
            <w:tcW w:w="2016" w:type="pct"/>
            <w:vAlign w:val="center"/>
          </w:tcPr>
          <w:p>
            <w:pPr>
              <w:keepNext w:val="0"/>
              <w:keepLines w:val="0"/>
              <w:pageBreakBefore w:val="0"/>
              <w:widowControl/>
              <w:suppressLineNumbers w:val="0"/>
              <w:tabs>
                <w:tab w:val="left" w:pos="464"/>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highlight w:val="none"/>
                <w:lang w:val="en-US" w:eastAsia="zh-CN"/>
              </w:rPr>
              <w:t>火焰原子吸收分光光度法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0.01</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锌</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SA"/>
              </w:rPr>
              <w:t>原子吸收分光光度法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0.05</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溶解性总固体</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称量法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4</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耗氧量</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酸性高锰酸钾滴定法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5</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硫酸根</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离子色谱法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0.018</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氯离子</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离子色谱法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0.007</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石油类</w:t>
            </w:r>
          </w:p>
        </w:tc>
        <w:tc>
          <w:tcPr>
            <w:tcW w:w="201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紫外分光光度法</w:t>
            </w:r>
          </w:p>
        </w:tc>
        <w:tc>
          <w:tcPr>
            <w:tcW w:w="60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0.01</w:t>
            </w:r>
          </w:p>
        </w:tc>
        <w:tc>
          <w:tcPr>
            <w:tcW w:w="557"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lang w:val="en-US" w:eastAsia="zh-CN" w:bidi="ar"/>
              </w:rPr>
              <w:t>mg/L</w:t>
            </w:r>
          </w:p>
        </w:tc>
        <w:tc>
          <w:tcPr>
            <w:tcW w:w="758"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000" w:type="pct"/>
            <w:gridSpan w:val="5"/>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备注：ND代表未检出</w:t>
            </w:r>
          </w:p>
        </w:tc>
      </w:tr>
    </w:tbl>
    <w:p>
      <w:pPr>
        <w:pStyle w:val="3"/>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val="0"/>
          <w:color w:val="auto"/>
          <w:kern w:val="0"/>
          <w:sz w:val="24"/>
          <w:szCs w:val="24"/>
          <w:lang w:val="en-US" w:eastAsia="zh-CN" w:bidi="ar"/>
        </w:rPr>
      </w:pPr>
      <w:r>
        <w:rPr>
          <w:rFonts w:hint="default" w:ascii="Times New Roman" w:hAnsi="Times New Roman" w:eastAsia="宋体" w:cs="Times New Roman"/>
          <w:b w:val="0"/>
          <w:color w:val="auto"/>
          <w:kern w:val="0"/>
          <w:sz w:val="24"/>
          <w:szCs w:val="24"/>
          <w:lang w:val="en-US" w:eastAsia="zh-CN" w:bidi="ar"/>
        </w:rPr>
        <w:t>6.3.2.2 统计分析</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场地内地下水指标中氰化物、砷、汞、铬(六价)、铅、锰、石油类和锌未检出。pH、氨氮、硝酸盐、亚硝酸盐、挥发性酚类、总硬度、氟、镉、铁、溶解性总固体、高锰酸盐指数、硫酸盐、氯化物有检出。对照《地下水质量标准》（GB/T 14848-2017）中Ⅲ类标准，分析发现检测因子均未超标。本项目场地调查地下水样品检测数据的统计结果见表6.3-6。</w:t>
      </w:r>
    </w:p>
    <w:p>
      <w:pPr>
        <w:pStyle w:val="2"/>
        <w:pageBreakBefore w:val="0"/>
        <w:kinsoku/>
        <w:wordWrap/>
        <w:overflowPunct/>
        <w:topLinePunct w:val="0"/>
        <w:bidi w:val="0"/>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z w:val="24"/>
          <w:szCs w:val="24"/>
        </w:rPr>
        <w:t>表6.3-</w:t>
      </w:r>
      <w:r>
        <w:rPr>
          <w:rFonts w:hint="default" w:ascii="Times New Roman" w:hAnsi="Times New Roman" w:eastAsia="宋体" w:cs="Times New Roman"/>
          <w:b/>
          <w:bCs/>
          <w:color w:val="auto"/>
          <w:sz w:val="24"/>
          <w:szCs w:val="24"/>
          <w:lang w:val="en-US" w:eastAsia="zh-CN"/>
        </w:rPr>
        <w:t xml:space="preserve">6  </w:t>
      </w:r>
      <w:r>
        <w:rPr>
          <w:rFonts w:hint="default" w:ascii="Times New Roman" w:hAnsi="Times New Roman" w:eastAsia="宋体" w:cs="Times New Roman"/>
          <w:b/>
          <w:bCs/>
          <w:color w:val="auto"/>
          <w:sz w:val="24"/>
          <w:szCs w:val="24"/>
        </w:rPr>
        <w:t>地下水样品检测数据的统计</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2505"/>
        <w:gridCol w:w="2234"/>
        <w:gridCol w:w="1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tblHeader/>
        </w:trPr>
        <w:tc>
          <w:tcPr>
            <w:tcW w:w="1106"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项目</w:t>
            </w:r>
          </w:p>
        </w:tc>
        <w:tc>
          <w:tcPr>
            <w:tcW w:w="1470"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eastAsia="zh-CN"/>
              </w:rPr>
              <w:t>检测结果</w:t>
            </w:r>
            <w:r>
              <w:rPr>
                <w:rFonts w:hint="default" w:ascii="Times New Roman" w:hAnsi="Times New Roman" w:eastAsia="宋体" w:cs="Times New Roman"/>
                <w:b/>
                <w:color w:val="auto"/>
                <w:kern w:val="0"/>
                <w:sz w:val="21"/>
                <w:szCs w:val="21"/>
              </w:rPr>
              <w:t>（mg/</w:t>
            </w:r>
            <w:r>
              <w:rPr>
                <w:rFonts w:hint="default" w:ascii="Times New Roman" w:hAnsi="Times New Roman" w:eastAsia="宋体" w:cs="Times New Roman"/>
                <w:b/>
                <w:color w:val="auto"/>
                <w:kern w:val="0"/>
                <w:sz w:val="21"/>
                <w:szCs w:val="21"/>
                <w:lang w:val="en-US" w:eastAsia="zh-CN"/>
              </w:rPr>
              <w:t>L</w:t>
            </w:r>
            <w:r>
              <w:rPr>
                <w:rFonts w:hint="default" w:ascii="Times New Roman" w:hAnsi="Times New Roman" w:eastAsia="宋体" w:cs="Times New Roman"/>
                <w:b/>
                <w:color w:val="auto"/>
                <w:kern w:val="0"/>
                <w:sz w:val="21"/>
                <w:szCs w:val="21"/>
              </w:rPr>
              <w:t>）</w:t>
            </w:r>
          </w:p>
        </w:tc>
        <w:tc>
          <w:tcPr>
            <w:tcW w:w="1311"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筛选值（mg/</w:t>
            </w:r>
            <w:r>
              <w:rPr>
                <w:rFonts w:hint="default" w:ascii="Times New Roman" w:hAnsi="Times New Roman" w:eastAsia="宋体" w:cs="Times New Roman"/>
                <w:b/>
                <w:color w:val="auto"/>
                <w:kern w:val="0"/>
                <w:sz w:val="21"/>
                <w:szCs w:val="21"/>
                <w:lang w:val="en-US" w:eastAsia="zh-CN"/>
              </w:rPr>
              <w:t>L</w:t>
            </w:r>
            <w:r>
              <w:rPr>
                <w:rFonts w:hint="default" w:ascii="Times New Roman" w:hAnsi="Times New Roman" w:eastAsia="宋体" w:cs="Times New Roman"/>
                <w:b/>
                <w:color w:val="auto"/>
                <w:kern w:val="0"/>
                <w:sz w:val="21"/>
                <w:szCs w:val="21"/>
              </w:rPr>
              <w:t>）</w:t>
            </w:r>
          </w:p>
        </w:tc>
        <w:tc>
          <w:tcPr>
            <w:tcW w:w="1111" w:type="pct"/>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rPr>
              <w:t>超标</w:t>
            </w:r>
            <w:r>
              <w:rPr>
                <w:rFonts w:hint="default" w:ascii="Times New Roman" w:hAnsi="Times New Roman" w:eastAsia="宋体" w:cs="Times New Roman"/>
                <w:b/>
                <w:color w:val="auto"/>
                <w:kern w:val="0"/>
                <w:sz w:val="21"/>
                <w:szCs w:val="21"/>
                <w:lang w:eastAsia="zh-CN"/>
              </w:rPr>
              <w:t>率（</w:t>
            </w:r>
            <w:r>
              <w:rPr>
                <w:rFonts w:hint="default" w:ascii="Times New Roman" w:hAnsi="Times New Roman" w:eastAsia="宋体" w:cs="Times New Roman"/>
                <w:b/>
                <w:color w:val="auto"/>
                <w:kern w:val="0"/>
                <w:sz w:val="21"/>
                <w:szCs w:val="21"/>
                <w:lang w:val="en-US" w:eastAsia="zh-CN"/>
              </w:rPr>
              <w:t>%</w:t>
            </w:r>
            <w:r>
              <w:rPr>
                <w:rFonts w:hint="default" w:ascii="Times New Roman" w:hAnsi="Times New Roman" w:eastAsia="宋体" w:cs="Times New Roman"/>
                <w:b/>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1106"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氨氮</w:t>
            </w:r>
          </w:p>
        </w:tc>
        <w:tc>
          <w:tcPr>
            <w:tcW w:w="147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0.26</w:t>
            </w:r>
          </w:p>
        </w:tc>
        <w:tc>
          <w:tcPr>
            <w:tcW w:w="13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0.50</w:t>
            </w:r>
          </w:p>
        </w:tc>
        <w:tc>
          <w:tcPr>
            <w:tcW w:w="11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1106"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硝酸盐</w:t>
            </w:r>
          </w:p>
        </w:tc>
        <w:tc>
          <w:tcPr>
            <w:tcW w:w="147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5.9</w:t>
            </w:r>
          </w:p>
        </w:tc>
        <w:tc>
          <w:tcPr>
            <w:tcW w:w="13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20.0</w:t>
            </w:r>
          </w:p>
        </w:tc>
        <w:tc>
          <w:tcPr>
            <w:tcW w:w="11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1106"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亚硝酸盐</w:t>
            </w:r>
          </w:p>
        </w:tc>
        <w:tc>
          <w:tcPr>
            <w:tcW w:w="147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0.014</w:t>
            </w:r>
          </w:p>
        </w:tc>
        <w:tc>
          <w:tcPr>
            <w:tcW w:w="13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1.00</w:t>
            </w:r>
          </w:p>
        </w:tc>
        <w:tc>
          <w:tcPr>
            <w:tcW w:w="11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1106"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挥发性酚类</w:t>
            </w:r>
          </w:p>
        </w:tc>
        <w:tc>
          <w:tcPr>
            <w:tcW w:w="147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0.0017</w:t>
            </w:r>
          </w:p>
        </w:tc>
        <w:tc>
          <w:tcPr>
            <w:tcW w:w="13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0.002</w:t>
            </w:r>
          </w:p>
        </w:tc>
        <w:tc>
          <w:tcPr>
            <w:tcW w:w="11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1106"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总硬度</w:t>
            </w:r>
          </w:p>
        </w:tc>
        <w:tc>
          <w:tcPr>
            <w:tcW w:w="147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189</w:t>
            </w:r>
          </w:p>
        </w:tc>
        <w:tc>
          <w:tcPr>
            <w:tcW w:w="13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450</w:t>
            </w:r>
          </w:p>
        </w:tc>
        <w:tc>
          <w:tcPr>
            <w:tcW w:w="11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1106"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氟化物</w:t>
            </w:r>
          </w:p>
        </w:tc>
        <w:tc>
          <w:tcPr>
            <w:tcW w:w="1470" w:type="pct"/>
            <w:noWrap w:val="0"/>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w:t>
            </w:r>
          </w:p>
        </w:tc>
        <w:tc>
          <w:tcPr>
            <w:tcW w:w="13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1.0</w:t>
            </w:r>
          </w:p>
        </w:tc>
        <w:tc>
          <w:tcPr>
            <w:tcW w:w="1111"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110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镉</w:t>
            </w:r>
          </w:p>
        </w:tc>
        <w:tc>
          <w:tcPr>
            <w:tcW w:w="147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0.0020</w:t>
            </w:r>
          </w:p>
        </w:tc>
        <w:tc>
          <w:tcPr>
            <w:tcW w:w="13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0.005</w:t>
            </w:r>
          </w:p>
        </w:tc>
        <w:tc>
          <w:tcPr>
            <w:tcW w:w="11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110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铁</w:t>
            </w:r>
          </w:p>
        </w:tc>
        <w:tc>
          <w:tcPr>
            <w:tcW w:w="147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0.06</w:t>
            </w:r>
          </w:p>
        </w:tc>
        <w:tc>
          <w:tcPr>
            <w:tcW w:w="13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0.3</w:t>
            </w:r>
          </w:p>
        </w:tc>
        <w:tc>
          <w:tcPr>
            <w:tcW w:w="11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110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溶解性总固体</w:t>
            </w:r>
          </w:p>
        </w:tc>
        <w:tc>
          <w:tcPr>
            <w:tcW w:w="147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791</w:t>
            </w:r>
          </w:p>
        </w:tc>
        <w:tc>
          <w:tcPr>
            <w:tcW w:w="13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1000</w:t>
            </w:r>
          </w:p>
        </w:tc>
        <w:tc>
          <w:tcPr>
            <w:tcW w:w="11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110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耗氧量</w:t>
            </w:r>
          </w:p>
        </w:tc>
        <w:tc>
          <w:tcPr>
            <w:tcW w:w="147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1.60</w:t>
            </w:r>
          </w:p>
        </w:tc>
        <w:tc>
          <w:tcPr>
            <w:tcW w:w="13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3.0</w:t>
            </w:r>
          </w:p>
        </w:tc>
        <w:tc>
          <w:tcPr>
            <w:tcW w:w="11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110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硫酸根</w:t>
            </w:r>
          </w:p>
        </w:tc>
        <w:tc>
          <w:tcPr>
            <w:tcW w:w="147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167</w:t>
            </w:r>
          </w:p>
        </w:tc>
        <w:tc>
          <w:tcPr>
            <w:tcW w:w="13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250</w:t>
            </w:r>
          </w:p>
        </w:tc>
        <w:tc>
          <w:tcPr>
            <w:tcW w:w="11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1106"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氯离子</w:t>
            </w:r>
          </w:p>
        </w:tc>
        <w:tc>
          <w:tcPr>
            <w:tcW w:w="1470" w:type="pct"/>
            <w:vAlign w:val="center"/>
          </w:tcPr>
          <w:p>
            <w:pPr>
              <w:pStyle w:val="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189</w:t>
            </w:r>
          </w:p>
        </w:tc>
        <w:tc>
          <w:tcPr>
            <w:tcW w:w="13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250</w:t>
            </w:r>
          </w:p>
        </w:tc>
        <w:tc>
          <w:tcPr>
            <w:tcW w:w="111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bl>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254" w:name="_Toc6933"/>
      <w:bookmarkStart w:id="255" w:name="_Toc9878"/>
      <w:r>
        <w:rPr>
          <w:rFonts w:hint="default" w:ascii="Times New Roman" w:hAnsi="Times New Roman" w:eastAsia="宋体" w:cs="Times New Roman"/>
          <w:color w:val="auto"/>
          <w:sz w:val="28"/>
          <w:szCs w:val="28"/>
          <w:lang w:val="en-US" w:eastAsia="zh-CN"/>
        </w:rPr>
        <w:t>6.4 检测结果评价</w:t>
      </w:r>
      <w:bookmarkEnd w:id="242"/>
      <w:bookmarkEnd w:id="243"/>
      <w:bookmarkEnd w:id="244"/>
      <w:bookmarkEnd w:id="245"/>
      <w:bookmarkEnd w:id="246"/>
      <w:bookmarkEnd w:id="247"/>
      <w:bookmarkEnd w:id="248"/>
      <w:bookmarkEnd w:id="249"/>
      <w:bookmarkEnd w:id="251"/>
      <w:bookmarkEnd w:id="252"/>
      <w:bookmarkEnd w:id="254"/>
      <w:bookmarkEnd w:id="255"/>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256" w:name="_Toc25797"/>
      <w:bookmarkStart w:id="257" w:name="_Toc18610"/>
      <w:r>
        <w:rPr>
          <w:rFonts w:hint="default" w:ascii="Times New Roman" w:hAnsi="Times New Roman" w:eastAsia="宋体" w:cs="Times New Roman"/>
          <w:color w:val="auto"/>
          <w:lang w:val="en-US" w:eastAsia="zh-CN"/>
        </w:rPr>
        <w:t>6.4.1 土壤检测结果评价</w:t>
      </w:r>
      <w:bookmarkEnd w:id="256"/>
      <w:bookmarkEnd w:id="257"/>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对照表6.</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-1和表6.3-</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可知：</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rPr>
        <w:t>场地内</w:t>
      </w:r>
      <w:r>
        <w:rPr>
          <w:rFonts w:hint="default" w:ascii="Times New Roman" w:hAnsi="Times New Roman" w:eastAsia="宋体" w:cs="Times New Roman"/>
          <w:color w:val="auto"/>
          <w:sz w:val="24"/>
          <w:szCs w:val="24"/>
        </w:rPr>
        <w:t>土壤</w:t>
      </w:r>
      <w:r>
        <w:rPr>
          <w:rFonts w:hint="default" w:ascii="Times New Roman" w:hAnsi="Times New Roman" w:eastAsia="宋体" w:cs="Times New Roman"/>
          <w:color w:val="auto"/>
          <w:lang w:eastAsia="zh-CN"/>
        </w:rPr>
        <w:t>中砷、镉、铜、汞、铅、镍、锌、</w:t>
      </w:r>
      <w:r>
        <w:rPr>
          <w:rFonts w:hint="default" w:ascii="Times New Roman" w:hAnsi="Times New Roman" w:eastAsia="宋体" w:cs="Times New Roman"/>
          <w:color w:val="auto"/>
          <w:lang w:val="en-US" w:eastAsia="zh-CN"/>
        </w:rPr>
        <w:t>氯苯、1,4-二氯苯、1,2-二氯苯和</w:t>
      </w:r>
      <w:r>
        <w:rPr>
          <w:rFonts w:hint="default" w:ascii="Times New Roman" w:hAnsi="Times New Roman" w:eastAsia="宋体" w:cs="Times New Roman"/>
          <w:color w:val="auto"/>
          <w:lang w:eastAsia="zh-CN"/>
        </w:rPr>
        <w:t>石油烃均有检出。其中砷、镉、铜、汞、铅、镍、锌的检出率均为</w:t>
      </w:r>
      <w:r>
        <w:rPr>
          <w:rFonts w:hint="default" w:ascii="Times New Roman" w:hAnsi="Times New Roman" w:eastAsia="宋体" w:cs="Times New Roman"/>
          <w:color w:val="auto"/>
          <w:lang w:val="en-US" w:eastAsia="zh-CN"/>
        </w:rPr>
        <w:t>100%；氯苯和1,4-二氯苯的检出率为30%；1,2-二氯苯检出率20%；</w:t>
      </w:r>
      <w:r>
        <w:rPr>
          <w:rFonts w:hint="default" w:ascii="Times New Roman" w:hAnsi="Times New Roman" w:eastAsia="宋体" w:cs="Times New Roman"/>
          <w:color w:val="auto"/>
          <w:lang w:eastAsia="zh-CN"/>
        </w:rPr>
        <w:t>石油烃只在</w:t>
      </w:r>
      <w:r>
        <w:rPr>
          <w:rFonts w:hint="default" w:ascii="Times New Roman" w:hAnsi="Times New Roman" w:eastAsia="宋体" w:cs="Times New Roman"/>
          <w:color w:val="auto"/>
          <w:lang w:val="en-US" w:eastAsia="zh-CN"/>
        </w:rPr>
        <w:t>S3-0.5以及S4-2.5两个土壤样品中</w:t>
      </w:r>
      <w:r>
        <w:rPr>
          <w:rFonts w:hint="default" w:ascii="Times New Roman" w:hAnsi="Times New Roman" w:eastAsia="宋体" w:cs="Times New Roman"/>
          <w:color w:val="auto"/>
          <w:lang w:eastAsia="zh-CN"/>
        </w:rPr>
        <w:t>有检出。</w:t>
      </w:r>
      <w:r>
        <w:rPr>
          <w:rFonts w:hint="default" w:ascii="Times New Roman" w:hAnsi="Times New Roman" w:eastAsia="宋体" w:cs="Times New Roman"/>
          <w:color w:val="auto"/>
          <w:lang w:val="en-US" w:eastAsia="zh-CN"/>
        </w:rPr>
        <w:t>但</w:t>
      </w:r>
      <w:r>
        <w:rPr>
          <w:rFonts w:hint="default" w:ascii="Times New Roman" w:hAnsi="Times New Roman" w:eastAsia="宋体" w:cs="Times New Roman"/>
          <w:color w:val="auto"/>
        </w:rPr>
        <w:t>各项</w:t>
      </w:r>
      <w:r>
        <w:rPr>
          <w:rFonts w:hint="default" w:ascii="Times New Roman" w:hAnsi="Times New Roman" w:eastAsia="宋体" w:cs="Times New Roman"/>
          <w:color w:val="auto"/>
          <w:lang w:eastAsia="zh-CN"/>
        </w:rPr>
        <w:t>检出</w:t>
      </w:r>
      <w:r>
        <w:rPr>
          <w:rFonts w:hint="default" w:ascii="Times New Roman" w:hAnsi="Times New Roman" w:eastAsia="宋体" w:cs="Times New Roman"/>
          <w:color w:val="auto"/>
        </w:rPr>
        <w:t>因子的检出浓度均未超出《土壤环境质量  建设用地土壤污染风险管控标准（试行）》（GB36600-2018）土壤污染风险筛选值。</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258" w:name="_Toc6338"/>
      <w:bookmarkStart w:id="259" w:name="_Toc18810"/>
      <w:r>
        <w:rPr>
          <w:rFonts w:hint="default" w:ascii="Times New Roman" w:hAnsi="Times New Roman" w:eastAsia="宋体" w:cs="Times New Roman"/>
          <w:color w:val="auto"/>
          <w:lang w:val="en-US" w:eastAsia="zh-CN"/>
        </w:rPr>
        <w:t>6.4.2 地下水检测结果评价</w:t>
      </w:r>
      <w:bookmarkEnd w:id="258"/>
      <w:bookmarkEnd w:id="259"/>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对照表6.</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和表6.3-</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可知：</w:t>
      </w:r>
    </w:p>
    <w:p>
      <w:pPr>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场地内地下水指标中氰化物、砷、汞、铬(六价)、铅、锰、石油类和锌未检出。PH、氨氮、硝酸盐、亚硝酸盐、挥发性酚类、总硬度、氟、镉、铁、溶解性总固体、高锰酸盐指数、硫酸盐和氯化物有检出，对照《地下水质量标准》（GB/T 14848-2017）中Ⅲ类标准，分析发现检测因子均未超标。</w:t>
      </w:r>
    </w:p>
    <w:p>
      <w:pPr>
        <w:pageBreakBefore w:val="0"/>
        <w:kinsoku/>
        <w:wordWrap/>
        <w:overflowPunct/>
        <w:topLinePunct w:val="0"/>
        <w:autoSpaceDE/>
        <w:autoSpaceDN/>
        <w:bidi w:val="0"/>
        <w:spacing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p>
    <w:p>
      <w:pPr>
        <w:pStyle w:val="4"/>
        <w:pageBreakBefore w:val="0"/>
        <w:kinsoku/>
        <w:wordWrap/>
        <w:overflowPunct/>
        <w:topLinePunct w:val="0"/>
        <w:bidi w:val="0"/>
        <w:spacing w:line="360" w:lineRule="auto"/>
        <w:ind w:firstLine="0"/>
        <w:rPr>
          <w:rFonts w:hint="default" w:ascii="Times New Roman" w:hAnsi="Times New Roman" w:eastAsia="宋体" w:cs="Times New Roman"/>
          <w:color w:val="auto"/>
          <w:sz w:val="30"/>
          <w:szCs w:val="30"/>
          <w:lang w:val="en-US" w:eastAsia="zh-CN"/>
        </w:rPr>
      </w:pPr>
      <w:bookmarkStart w:id="260" w:name="_Toc2779"/>
      <w:bookmarkStart w:id="261" w:name="_Toc533409878"/>
      <w:bookmarkStart w:id="262" w:name="_Toc5377"/>
      <w:bookmarkStart w:id="263" w:name="_Toc10165"/>
      <w:bookmarkStart w:id="264" w:name="_Toc15775"/>
      <w:bookmarkStart w:id="265" w:name="_Toc12634"/>
      <w:bookmarkStart w:id="266" w:name="_Toc9511"/>
      <w:bookmarkStart w:id="267" w:name="_Toc16239"/>
      <w:bookmarkStart w:id="268" w:name="_Toc27061"/>
      <w:bookmarkStart w:id="269" w:name="_Toc15314"/>
      <w:bookmarkStart w:id="270" w:name="_Toc1009"/>
      <w:bookmarkStart w:id="271" w:name="_Toc2765"/>
      <w:r>
        <w:rPr>
          <w:rFonts w:hint="default" w:ascii="Times New Roman" w:hAnsi="Times New Roman" w:eastAsia="宋体" w:cs="Times New Roman"/>
          <w:color w:val="auto"/>
          <w:sz w:val="30"/>
          <w:szCs w:val="30"/>
          <w:lang w:val="en-US" w:eastAsia="zh-CN"/>
        </w:rPr>
        <w:t>7 结论与建议</w:t>
      </w:r>
      <w:bookmarkEnd w:id="260"/>
      <w:bookmarkEnd w:id="261"/>
      <w:bookmarkEnd w:id="262"/>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272" w:name="_Toc15719"/>
      <w:bookmarkStart w:id="273" w:name="_Toc533409879"/>
      <w:bookmarkStart w:id="274" w:name="_Toc18598"/>
      <w:r>
        <w:rPr>
          <w:rFonts w:hint="default" w:ascii="Times New Roman" w:hAnsi="Times New Roman" w:eastAsia="宋体" w:cs="Times New Roman"/>
          <w:color w:val="auto"/>
          <w:sz w:val="28"/>
          <w:szCs w:val="28"/>
          <w:lang w:val="en-US" w:eastAsia="zh-CN"/>
        </w:rPr>
        <w:t>7.1 调查结论</w:t>
      </w:r>
      <w:bookmarkEnd w:id="272"/>
      <w:bookmarkEnd w:id="273"/>
      <w:bookmarkEnd w:id="274"/>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275" w:name="_Toc15403"/>
      <w:bookmarkStart w:id="276" w:name="_Toc8566"/>
      <w:bookmarkStart w:id="277" w:name="_Toc533409880"/>
      <w:r>
        <w:rPr>
          <w:rFonts w:hint="default" w:ascii="Times New Roman" w:hAnsi="Times New Roman" w:eastAsia="宋体" w:cs="Times New Roman"/>
          <w:color w:val="auto"/>
          <w:lang w:val="en-US" w:eastAsia="zh-CN"/>
        </w:rPr>
        <w:t>7.1.1 企业概况</w:t>
      </w:r>
      <w:bookmarkEnd w:id="275"/>
      <w:bookmarkEnd w:id="276"/>
      <w:bookmarkEnd w:id="277"/>
    </w:p>
    <w:p>
      <w:pPr>
        <w:pStyle w:val="2"/>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rPr>
        <w:t>邢台兴安液压机械有限公司位于邢台市任县工业区永康大街</w:t>
      </w:r>
      <w:r>
        <w:rPr>
          <w:rFonts w:hint="default" w:ascii="Times New Roman" w:hAnsi="Times New Roman" w:cs="Times New Roman"/>
          <w:lang w:eastAsia="zh-CN"/>
        </w:rPr>
        <w:t>与</w:t>
      </w:r>
      <w:r>
        <w:rPr>
          <w:rFonts w:hint="default" w:ascii="Times New Roman" w:hAnsi="Times New Roman" w:eastAsia="宋体" w:cs="Times New Roman"/>
        </w:rPr>
        <w:t>东环路</w:t>
      </w:r>
      <w:r>
        <w:rPr>
          <w:rFonts w:hint="default" w:ascii="Times New Roman" w:hAnsi="Times New Roman" w:cs="Times New Roman"/>
          <w:lang w:eastAsia="zh-CN"/>
        </w:rPr>
        <w:t>交口西北</w:t>
      </w:r>
      <w:r>
        <w:rPr>
          <w:rFonts w:hint="default" w:ascii="Times New Roman" w:hAnsi="Times New Roman" w:eastAsia="宋体" w:cs="Times New Roman"/>
        </w:rPr>
        <w:t>侧</w:t>
      </w:r>
      <w:r>
        <w:rPr>
          <w:rFonts w:hint="default" w:ascii="Times New Roman" w:hAnsi="Times New Roman" w:cs="Times New Roman"/>
          <w:lang w:eastAsia="zh-CN"/>
        </w:rPr>
        <w:t>，</w:t>
      </w:r>
      <w:r>
        <w:rPr>
          <w:rFonts w:hint="default" w:ascii="Times New Roman" w:hAnsi="Times New Roman" w:eastAsia="宋体" w:cs="Times New Roman"/>
        </w:rPr>
        <w:t>项目场地占地33333.4m</w:t>
      </w:r>
      <w:r>
        <w:rPr>
          <w:rFonts w:hint="default" w:ascii="Times New Roman" w:hAnsi="Times New Roman" w:eastAsia="宋体" w:cs="Times New Roman"/>
          <w:vertAlign w:val="superscript"/>
        </w:rPr>
        <w:t>2</w:t>
      </w:r>
      <w:r>
        <w:rPr>
          <w:rFonts w:hint="default" w:ascii="Times New Roman" w:hAnsi="Times New Roman" w:eastAsia="宋体" w:cs="Times New Roman"/>
        </w:rPr>
        <w:t>（合50亩）</w:t>
      </w:r>
      <w:r>
        <w:rPr>
          <w:rFonts w:hint="default" w:ascii="Times New Roman" w:hAnsi="Times New Roman" w:cs="Times New Roman"/>
          <w:lang w:eastAsia="zh-CN"/>
        </w:rPr>
        <w:t>，</w:t>
      </w:r>
      <w:r>
        <w:rPr>
          <w:rFonts w:hint="default" w:ascii="Times New Roman" w:hAnsi="Times New Roman" w:eastAsia="宋体" w:cs="Times New Roman"/>
        </w:rPr>
        <w:t>中心坐标为E 114°39′18.12″，N 37°8′41.32″。</w:t>
      </w:r>
      <w:r>
        <w:rPr>
          <w:rFonts w:hint="default" w:ascii="Times New Roman" w:hAnsi="Times New Roman" w:eastAsia="宋体" w:cs="Times New Roman"/>
          <w:color w:val="auto"/>
          <w:sz w:val="24"/>
          <w:szCs w:val="24"/>
          <w:lang w:eastAsia="zh-CN"/>
        </w:rPr>
        <w:t>该企业始建于</w:t>
      </w:r>
      <w:r>
        <w:rPr>
          <w:rFonts w:hint="default" w:ascii="Times New Roman" w:hAnsi="Times New Roman" w:eastAsia="宋体" w:cs="Times New Roman"/>
          <w:color w:val="auto"/>
          <w:sz w:val="24"/>
          <w:szCs w:val="24"/>
          <w:lang w:val="en-US" w:eastAsia="zh-CN"/>
        </w:rPr>
        <w:t>1987年，</w:t>
      </w:r>
      <w:r>
        <w:rPr>
          <w:rFonts w:hint="default" w:ascii="Times New Roman" w:hAnsi="Times New Roman" w:eastAsia="宋体" w:cs="Times New Roman"/>
          <w:color w:val="auto"/>
          <w:sz w:val="24"/>
          <w:szCs w:val="24"/>
          <w:lang w:eastAsia="zh-CN"/>
        </w:rPr>
        <w:t>主营矿用综采工作面液压支架立柱、千斤顶修复及配件加工。企业</w:t>
      </w:r>
      <w:r>
        <w:rPr>
          <w:rFonts w:hint="default" w:ascii="Times New Roman" w:hAnsi="Times New Roman" w:eastAsia="宋体" w:cs="Times New Roman"/>
          <w:color w:val="auto"/>
          <w:lang w:val="en-US" w:eastAsia="zh-CN"/>
        </w:rPr>
        <w:t>在运营期内，未出现过环境污染事故。</w:t>
      </w:r>
    </w:p>
    <w:p>
      <w:pPr>
        <w:pStyle w:val="6"/>
        <w:pageBreakBefore w:val="0"/>
        <w:kinsoku/>
        <w:wordWrap/>
        <w:overflowPunct/>
        <w:topLinePunct w:val="0"/>
        <w:bidi w:val="0"/>
        <w:spacing w:line="360" w:lineRule="auto"/>
        <w:ind w:left="0" w:leftChars="0" w:right="0" w:firstLine="0" w:firstLineChars="0"/>
        <w:rPr>
          <w:rFonts w:hint="default" w:ascii="Times New Roman" w:hAnsi="Times New Roman" w:eastAsia="宋体" w:cs="Times New Roman"/>
          <w:color w:val="auto"/>
          <w:lang w:val="en-US" w:eastAsia="zh-CN"/>
        </w:rPr>
      </w:pPr>
      <w:bookmarkStart w:id="278" w:name="_Toc22648"/>
      <w:bookmarkStart w:id="279" w:name="_Toc533409881"/>
      <w:bookmarkStart w:id="280" w:name="_Toc10707"/>
      <w:r>
        <w:rPr>
          <w:rFonts w:hint="default" w:ascii="Times New Roman" w:hAnsi="Times New Roman" w:eastAsia="宋体" w:cs="Times New Roman"/>
          <w:color w:val="auto"/>
          <w:lang w:val="en-US" w:eastAsia="zh-CN"/>
        </w:rPr>
        <w:t xml:space="preserve">7.1.2 </w:t>
      </w:r>
      <w:bookmarkEnd w:id="278"/>
      <w:bookmarkEnd w:id="279"/>
      <w:r>
        <w:rPr>
          <w:rFonts w:hint="default" w:ascii="Times New Roman" w:hAnsi="Times New Roman" w:eastAsia="宋体" w:cs="Times New Roman"/>
          <w:color w:val="auto"/>
          <w:lang w:val="en-US" w:eastAsia="zh-CN"/>
        </w:rPr>
        <w:t>企业土壤及地下水环境质量状况</w:t>
      </w:r>
      <w:bookmarkEnd w:id="280"/>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（1）土壤</w:t>
      </w:r>
      <w:r>
        <w:rPr>
          <w:rFonts w:hint="default" w:ascii="Times New Roman" w:hAnsi="Times New Roman" w:eastAsia="宋体" w:cs="Times New Roman"/>
          <w:color w:val="auto"/>
          <w:lang w:eastAsia="zh-CN"/>
        </w:rPr>
        <w:t>监测结果</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我公司于201</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年11月</w:t>
      </w:r>
      <w:r>
        <w:rPr>
          <w:rFonts w:hint="default" w:ascii="Times New Roman" w:hAnsi="Times New Roman" w:eastAsia="宋体" w:cs="Times New Roman"/>
          <w:color w:val="auto"/>
          <w:lang w:val="en-US" w:eastAsia="zh-CN"/>
        </w:rPr>
        <w:t>12日</w:t>
      </w:r>
      <w:r>
        <w:rPr>
          <w:rFonts w:hint="default" w:ascii="Times New Roman" w:hAnsi="Times New Roman" w:eastAsia="宋体" w:cs="Times New Roman"/>
          <w:color w:val="auto"/>
          <w:lang w:eastAsia="zh-CN"/>
        </w:rPr>
        <w:t>委托江苏实朴检测服务有限公司</w:t>
      </w:r>
      <w:r>
        <w:rPr>
          <w:rFonts w:hint="default" w:ascii="Times New Roman" w:hAnsi="Times New Roman" w:eastAsia="宋体" w:cs="Times New Roman"/>
          <w:color w:val="auto"/>
        </w:rPr>
        <w:t>对企业进行了土壤的钻探采样工作</w:t>
      </w:r>
      <w:r>
        <w:rPr>
          <w:rFonts w:hint="default" w:ascii="Times New Roman" w:hAnsi="Times New Roman" w:eastAsia="宋体" w:cs="Times New Roman"/>
          <w:color w:val="auto"/>
          <w:lang w:eastAsia="zh-CN"/>
        </w:rPr>
        <w:t>。本项目共布设</w:t>
      </w:r>
      <w:r>
        <w:rPr>
          <w:rFonts w:hint="default" w:ascii="Times New Roman" w:hAnsi="Times New Roman" w:eastAsia="宋体" w:cs="Times New Roman"/>
          <w:color w:val="auto"/>
          <w:lang w:val="en-US" w:eastAsia="zh-CN"/>
        </w:rPr>
        <w:t>5个土壤采样点，</w:t>
      </w:r>
      <w:r>
        <w:rPr>
          <w:rFonts w:hint="default" w:ascii="Times New Roman" w:hAnsi="Times New Roman" w:eastAsia="宋体" w:cs="Times New Roman"/>
          <w:color w:val="auto"/>
        </w:rPr>
        <w:t>共采集土壤样品</w:t>
      </w:r>
      <w:r>
        <w:rPr>
          <w:rFonts w:hint="default" w:ascii="Times New Roman" w:hAnsi="Times New Roman" w:eastAsia="宋体" w:cs="Times New Roman"/>
          <w:color w:val="auto"/>
          <w:lang w:val="en-US" w:eastAsia="zh-CN"/>
        </w:rPr>
        <w:t>11组及1组平行样品。</w:t>
      </w:r>
      <w:r>
        <w:rPr>
          <w:rFonts w:hint="default" w:ascii="Times New Roman" w:hAnsi="Times New Roman" w:eastAsia="宋体" w:cs="Times New Roman"/>
          <w:color w:val="auto"/>
        </w:rPr>
        <w:t>采集的土壤样品送至</w:t>
      </w:r>
      <w:r>
        <w:rPr>
          <w:rFonts w:hint="default" w:ascii="Times New Roman" w:hAnsi="Times New Roman" w:eastAsia="宋体" w:cs="Times New Roman"/>
          <w:color w:val="auto"/>
          <w:lang w:eastAsia="zh-CN"/>
        </w:rPr>
        <w:t>江苏实朴检测服务有限公司</w:t>
      </w:r>
      <w:r>
        <w:rPr>
          <w:rFonts w:hint="default" w:ascii="Times New Roman" w:hAnsi="Times New Roman" w:eastAsia="宋体" w:cs="Times New Roman"/>
          <w:color w:val="auto"/>
        </w:rPr>
        <w:t>实验室进行</w:t>
      </w:r>
      <w:r>
        <w:rPr>
          <w:rFonts w:hint="default" w:ascii="Times New Roman" w:hAnsi="Times New Roman" w:eastAsia="宋体" w:cs="Times New Roman"/>
          <w:color w:val="auto"/>
          <w:lang w:eastAsia="zh-CN"/>
        </w:rPr>
        <w:t>检测。根据检测结果，</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rPr>
        <w:t>场地内</w:t>
      </w:r>
      <w:r>
        <w:rPr>
          <w:rFonts w:hint="default" w:ascii="Times New Roman" w:hAnsi="Times New Roman" w:eastAsia="宋体" w:cs="Times New Roman"/>
          <w:color w:val="auto"/>
          <w:sz w:val="24"/>
          <w:szCs w:val="24"/>
        </w:rPr>
        <w:t>土壤</w:t>
      </w:r>
      <w:r>
        <w:rPr>
          <w:rFonts w:hint="default" w:ascii="Times New Roman" w:hAnsi="Times New Roman" w:eastAsia="宋体" w:cs="Times New Roman"/>
          <w:color w:val="auto"/>
          <w:lang w:eastAsia="zh-CN"/>
        </w:rPr>
        <w:t>中重金属（砷、镉、铜、汞、铅、镍、锌）、</w:t>
      </w:r>
      <w:r>
        <w:rPr>
          <w:rFonts w:hint="default" w:ascii="Times New Roman" w:hAnsi="Times New Roman" w:eastAsia="宋体" w:cs="Times New Roman"/>
          <w:color w:val="auto"/>
          <w:lang w:val="en-US" w:eastAsia="zh-CN"/>
        </w:rPr>
        <w:t>氯苯、1,4-二氯苯、1,2-二氯苯和</w:t>
      </w:r>
      <w:r>
        <w:rPr>
          <w:rFonts w:hint="default" w:ascii="Times New Roman" w:hAnsi="Times New Roman" w:eastAsia="宋体" w:cs="Times New Roman"/>
          <w:color w:val="auto"/>
          <w:lang w:eastAsia="zh-CN"/>
        </w:rPr>
        <w:t>石油烃均有检出。其中</w:t>
      </w:r>
      <w:r>
        <w:rPr>
          <w:rFonts w:hint="default" w:ascii="Times New Roman" w:hAnsi="Times New Roman" w:eastAsia="宋体" w:cs="Times New Roman"/>
          <w:color w:val="auto"/>
          <w:lang w:val="en-US" w:eastAsia="zh-CN"/>
        </w:rPr>
        <w:t>氯苯和1,4-二氯苯在S1和S2点位有检出，1,2-二氯苯在S1点位有检出，</w:t>
      </w:r>
      <w:r>
        <w:rPr>
          <w:rFonts w:hint="default" w:ascii="Times New Roman" w:hAnsi="Times New Roman" w:eastAsia="宋体" w:cs="Times New Roman"/>
          <w:color w:val="auto"/>
          <w:lang w:eastAsia="zh-CN"/>
        </w:rPr>
        <w:t>石油烃只在</w:t>
      </w:r>
      <w:r>
        <w:rPr>
          <w:rFonts w:hint="default" w:ascii="Times New Roman" w:hAnsi="Times New Roman" w:eastAsia="宋体" w:cs="Times New Roman"/>
          <w:color w:val="auto"/>
          <w:lang w:val="en-US" w:eastAsia="zh-CN"/>
        </w:rPr>
        <w:t>S3-0.5以及S4-2.5两个土壤样品中</w:t>
      </w:r>
      <w:r>
        <w:rPr>
          <w:rFonts w:hint="default" w:ascii="Times New Roman" w:hAnsi="Times New Roman" w:eastAsia="宋体" w:cs="Times New Roman"/>
          <w:color w:val="auto"/>
          <w:lang w:eastAsia="zh-CN"/>
        </w:rPr>
        <w:t>有检出。</w:t>
      </w:r>
      <w:r>
        <w:rPr>
          <w:rFonts w:hint="default" w:ascii="Times New Roman" w:hAnsi="Times New Roman" w:eastAsia="宋体" w:cs="Times New Roman"/>
          <w:color w:val="auto"/>
          <w:lang w:val="en-US" w:eastAsia="zh-CN"/>
        </w:rPr>
        <w:t>但</w:t>
      </w:r>
      <w:r>
        <w:rPr>
          <w:rFonts w:hint="default" w:ascii="Times New Roman" w:hAnsi="Times New Roman" w:eastAsia="宋体" w:cs="Times New Roman"/>
          <w:color w:val="auto"/>
        </w:rPr>
        <w:t>各项</w:t>
      </w:r>
      <w:r>
        <w:rPr>
          <w:rFonts w:hint="default" w:ascii="Times New Roman" w:hAnsi="Times New Roman" w:eastAsia="宋体" w:cs="Times New Roman"/>
          <w:color w:val="auto"/>
          <w:lang w:eastAsia="zh-CN"/>
        </w:rPr>
        <w:t>检出</w:t>
      </w:r>
      <w:r>
        <w:rPr>
          <w:rFonts w:hint="default" w:ascii="Times New Roman" w:hAnsi="Times New Roman" w:eastAsia="宋体" w:cs="Times New Roman"/>
          <w:color w:val="auto"/>
        </w:rPr>
        <w:t>因子的检出浓度均未超出《土壤环境质量  建设用地土壤污染风险管控标准（试行）》（GB36600-2018）中的第二类用地的建设用地土壤污染风险筛选值</w:t>
      </w:r>
      <w:r>
        <w:rPr>
          <w:rFonts w:hint="default" w:ascii="Times New Roman" w:hAnsi="Times New Roman" w:eastAsia="宋体"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（2）地下水</w:t>
      </w:r>
      <w:r>
        <w:rPr>
          <w:rFonts w:hint="default" w:ascii="Times New Roman" w:hAnsi="Times New Roman" w:eastAsia="宋体" w:cs="Times New Roman"/>
          <w:color w:val="auto"/>
          <w:lang w:eastAsia="zh-CN"/>
        </w:rPr>
        <w:t>监测结果</w:t>
      </w:r>
    </w:p>
    <w:p>
      <w:pPr>
        <w:pageBreakBefore w:val="0"/>
        <w:widowControl w:val="0"/>
        <w:kinsoku/>
        <w:wordWrap/>
        <w:overflowPunct/>
        <w:topLinePunct w:val="0"/>
        <w:autoSpaceDE/>
        <w:autoSpaceDN/>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我公司于201</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年11月</w:t>
      </w:r>
      <w:r>
        <w:rPr>
          <w:rFonts w:hint="default" w:ascii="Times New Roman" w:hAnsi="Times New Roman" w:eastAsia="宋体" w:cs="Times New Roman"/>
          <w:color w:val="auto"/>
          <w:lang w:val="en-US" w:eastAsia="zh-CN"/>
        </w:rPr>
        <w:t>26日</w:t>
      </w:r>
      <w:r>
        <w:rPr>
          <w:rFonts w:hint="default" w:ascii="Times New Roman" w:hAnsi="Times New Roman" w:eastAsia="宋体" w:cs="Times New Roman"/>
          <w:color w:val="auto"/>
          <w:lang w:eastAsia="zh-CN"/>
        </w:rPr>
        <w:t>委托河北升泰环境检测有限公司</w:t>
      </w:r>
      <w:r>
        <w:rPr>
          <w:rFonts w:hint="default" w:ascii="Times New Roman" w:hAnsi="Times New Roman" w:eastAsia="宋体" w:cs="Times New Roman"/>
          <w:color w:val="auto"/>
        </w:rPr>
        <w:t>对企业进行了</w:t>
      </w:r>
      <w:r>
        <w:rPr>
          <w:rFonts w:hint="default" w:ascii="Times New Roman" w:hAnsi="Times New Roman" w:eastAsia="宋体" w:cs="Times New Roman"/>
          <w:color w:val="auto"/>
          <w:lang w:eastAsia="zh-CN"/>
        </w:rPr>
        <w:t>地下水</w:t>
      </w:r>
      <w:r>
        <w:rPr>
          <w:rFonts w:hint="default" w:ascii="Times New Roman" w:hAnsi="Times New Roman" w:eastAsia="宋体" w:cs="Times New Roman"/>
          <w:color w:val="auto"/>
        </w:rPr>
        <w:t>的采样工作</w:t>
      </w:r>
      <w:r>
        <w:rPr>
          <w:rFonts w:hint="default" w:ascii="Times New Roman" w:hAnsi="Times New Roman" w:eastAsia="宋体" w:cs="Times New Roman"/>
          <w:color w:val="auto"/>
          <w:lang w:eastAsia="zh-CN"/>
        </w:rPr>
        <w:t>。本项目共布设</w:t>
      </w:r>
      <w:r>
        <w:rPr>
          <w:rFonts w:hint="default" w:ascii="Times New Roman" w:hAnsi="Times New Roman" w:eastAsia="宋体" w:cs="Times New Roman"/>
          <w:color w:val="auto"/>
          <w:lang w:val="en-US" w:eastAsia="zh-CN"/>
        </w:rPr>
        <w:t>1个地下水采样点，</w:t>
      </w:r>
      <w:r>
        <w:rPr>
          <w:rFonts w:hint="default" w:ascii="Times New Roman" w:hAnsi="Times New Roman" w:eastAsia="宋体" w:cs="Times New Roman"/>
          <w:color w:val="auto"/>
        </w:rPr>
        <w:t>采集的样品送至</w:t>
      </w:r>
      <w:r>
        <w:rPr>
          <w:rFonts w:hint="default" w:ascii="Times New Roman" w:hAnsi="Times New Roman" w:eastAsia="宋体" w:cs="Times New Roman"/>
          <w:color w:val="auto"/>
          <w:lang w:eastAsia="zh-CN"/>
        </w:rPr>
        <w:t>河北升泰环境检测有限公司</w:t>
      </w:r>
      <w:r>
        <w:rPr>
          <w:rFonts w:hint="default" w:ascii="Times New Roman" w:hAnsi="Times New Roman" w:eastAsia="宋体" w:cs="Times New Roman"/>
          <w:color w:val="auto"/>
        </w:rPr>
        <w:t>进行化验分析</w:t>
      </w:r>
      <w:r>
        <w:rPr>
          <w:rFonts w:hint="default" w:ascii="Times New Roman" w:hAnsi="Times New Roman" w:eastAsia="宋体" w:cs="Times New Roman"/>
          <w:color w:val="auto"/>
          <w:lang w:eastAsia="zh-CN"/>
        </w:rPr>
        <w:t>。根据检测结果，</w:t>
      </w:r>
      <w:r>
        <w:rPr>
          <w:rFonts w:hint="default" w:ascii="Times New Roman" w:hAnsi="Times New Roman" w:eastAsia="宋体" w:cs="Times New Roman"/>
          <w:color w:val="auto"/>
          <w:lang w:val="en-US" w:eastAsia="zh-CN"/>
        </w:rPr>
        <w:t>本项目场地地下水中pH、氨氮、硝酸盐、亚硝酸盐、挥发性酚类、总硬度、氟、镉、铁、溶解性总固体、高锰酸盐指数、硫酸盐和氯化物均有检出。对照《地下水质量标准》（GB/T 14848-2017）中Ⅲ类标准，分析发现检测因子均未超标。</w:t>
      </w:r>
    </w:p>
    <w:p>
      <w:pPr>
        <w:pStyle w:val="5"/>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color w:val="auto"/>
          <w:sz w:val="28"/>
          <w:szCs w:val="28"/>
          <w:lang w:val="en-US" w:eastAsia="zh-CN"/>
        </w:rPr>
      </w:pPr>
      <w:bookmarkStart w:id="281" w:name="_Toc23409"/>
      <w:bookmarkStart w:id="282" w:name="_Toc26800"/>
      <w:r>
        <w:rPr>
          <w:rFonts w:hint="default" w:ascii="Times New Roman" w:hAnsi="Times New Roman" w:eastAsia="宋体" w:cs="Times New Roman"/>
          <w:color w:val="auto"/>
          <w:sz w:val="28"/>
          <w:szCs w:val="28"/>
          <w:lang w:val="en-US" w:eastAsia="zh-CN"/>
        </w:rPr>
        <w:t>7.2 调查评估不确定性分析</w:t>
      </w:r>
      <w:bookmarkEnd w:id="281"/>
      <w:bookmarkEnd w:id="282"/>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现场采样点位是通过潜在污染识别进行的合理化布设，由于土壤的非流动性，污染物浓度分布具有一定的差异性，单个点位的检测数据仅反映该点位代表区域的污染物浓度水平，不能完全统一反映该点位代表区域的污染物浓度；</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（2）监测因子选用不同的检测方法在前处理、测定过程中具有一定的局限性，检测结果在允许的范围内具有一定的误差性；</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4"/>
          <w:szCs w:val="24"/>
          <w:highlight w:val="none"/>
          <w:lang w:val="en-US" w:eastAsia="zh-CN" w:bidi="ar-SA"/>
        </w:rPr>
        <w:t>（3）本结论是我公司在该场地现场情况、布点采样、检测分析的基础上进行的合理推断和科学解释。</w:t>
      </w:r>
    </w:p>
    <w:p>
      <w:pPr>
        <w:pStyle w:val="5"/>
        <w:pageBreakBefore w:val="0"/>
        <w:kinsoku/>
        <w:wordWrap/>
        <w:overflowPunct/>
        <w:topLinePunct w:val="0"/>
        <w:autoSpaceDE/>
        <w:autoSpaceDN/>
        <w:bidi w:val="0"/>
        <w:spacing w:before="0" w:after="0" w:line="360" w:lineRule="auto"/>
        <w:ind w:left="0" w:leftChars="0" w:firstLine="0" w:firstLineChars="0"/>
        <w:rPr>
          <w:rFonts w:hint="default" w:ascii="Times New Roman" w:hAnsi="Times New Roman" w:eastAsia="宋体" w:cs="Times New Roman"/>
          <w:color w:val="auto"/>
          <w:sz w:val="28"/>
          <w:szCs w:val="28"/>
          <w:lang w:val="en-US" w:eastAsia="zh-CN"/>
        </w:rPr>
      </w:pPr>
      <w:bookmarkStart w:id="283" w:name="_Toc28037"/>
      <w:bookmarkStart w:id="284" w:name="_Toc16152"/>
      <w:bookmarkStart w:id="285" w:name="_Toc533409883"/>
      <w:r>
        <w:rPr>
          <w:rFonts w:hint="default" w:ascii="Times New Roman" w:hAnsi="Times New Roman" w:eastAsia="宋体" w:cs="Times New Roman"/>
          <w:color w:val="auto"/>
          <w:sz w:val="28"/>
          <w:szCs w:val="28"/>
        </w:rPr>
        <w:t>7</w:t>
      </w:r>
      <w:r>
        <w:rPr>
          <w:rFonts w:hint="default" w:ascii="Times New Roman" w:hAnsi="Times New Roman" w:eastAsia="宋体" w:cs="Times New Roman"/>
          <w:color w:val="auto"/>
          <w:sz w:val="28"/>
          <w:szCs w:val="28"/>
          <w:lang w:val="en-US" w:eastAsia="zh-CN"/>
        </w:rPr>
        <w:t>.3 建议</w:t>
      </w:r>
      <w:bookmarkEnd w:id="121"/>
      <w:bookmarkEnd w:id="263"/>
      <w:bookmarkEnd w:id="264"/>
      <w:bookmarkEnd w:id="265"/>
      <w:bookmarkEnd w:id="266"/>
      <w:bookmarkEnd w:id="267"/>
      <w:bookmarkEnd w:id="268"/>
      <w:bookmarkEnd w:id="269"/>
      <w:bookmarkEnd w:id="270"/>
      <w:bookmarkEnd w:id="271"/>
      <w:bookmarkEnd w:id="283"/>
      <w:bookmarkEnd w:id="284"/>
      <w:bookmarkEnd w:id="285"/>
    </w:p>
    <w:p>
      <w:pPr>
        <w:widowControl w:val="0"/>
        <w:spacing w:beforeLines="0" w:afterLines="0" w:line="360" w:lineRule="auto"/>
        <w:ind w:firstLine="480" w:firstLineChars="200"/>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t>根据本次土壤及地下水监测结果，特提出以下建议：</w:t>
      </w:r>
    </w:p>
    <w:p>
      <w:pPr>
        <w:widowControl w:val="0"/>
        <w:spacing w:beforeLines="0" w:afterLines="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lang w:eastAsia="zh-CN"/>
        </w:rPr>
        <w:t>（</w:t>
      </w:r>
      <w:r>
        <w:rPr>
          <w:rFonts w:hint="default" w:ascii="Times New Roman" w:hAnsi="Times New Roman" w:eastAsia="宋体" w:cs="Times New Roman"/>
          <w:color w:val="auto"/>
          <w:kern w:val="2"/>
          <w:sz w:val="24"/>
          <w:highlight w:val="none"/>
          <w:lang w:val="en-US" w:eastAsia="zh-CN"/>
        </w:rPr>
        <w:t>1）</w:t>
      </w:r>
      <w:r>
        <w:rPr>
          <w:rFonts w:hint="default" w:ascii="Times New Roman" w:hAnsi="Times New Roman" w:eastAsia="宋体" w:cs="Times New Roman"/>
          <w:color w:val="000000"/>
          <w:kern w:val="2"/>
          <w:sz w:val="24"/>
          <w:highlight w:val="none"/>
        </w:rPr>
        <w:t>本次调查结果是基于场地现有条件和现有评价标准而做出的专业判断，调查过程中尽可能做到客观、真实地反应场地检测指标分布情况，在未来</w:t>
      </w:r>
      <w:r>
        <w:rPr>
          <w:rFonts w:hint="default" w:ascii="Times New Roman" w:hAnsi="Times New Roman" w:eastAsia="宋体" w:cs="Times New Roman"/>
          <w:color w:val="auto"/>
          <w:kern w:val="2"/>
          <w:sz w:val="24"/>
          <w:highlight w:val="none"/>
          <w:lang w:eastAsia="zh-CN"/>
        </w:rPr>
        <w:t>企业生产活动中</w:t>
      </w:r>
      <w:r>
        <w:rPr>
          <w:rFonts w:hint="default" w:ascii="Times New Roman" w:hAnsi="Times New Roman" w:eastAsia="宋体" w:cs="Times New Roman"/>
          <w:color w:val="000000"/>
          <w:kern w:val="2"/>
          <w:sz w:val="24"/>
          <w:highlight w:val="none"/>
        </w:rPr>
        <w:t>若发现异常现象或超标情况，应及时采取有效的防范措施，以防对人体健康造成风险。</w:t>
      </w:r>
    </w:p>
    <w:p>
      <w:pPr>
        <w:pageBreakBefore w:val="0"/>
        <w:kinsoku/>
        <w:wordWrap/>
        <w:overflowPunct/>
        <w:topLinePunct w:val="0"/>
        <w:bidi w:val="0"/>
        <w:spacing w:line="360" w:lineRule="auto"/>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eastAsia="zh-CN"/>
        </w:rPr>
        <w:t>企业应继续保持场地内生产</w:t>
      </w:r>
      <w:r>
        <w:rPr>
          <w:rFonts w:hint="default" w:ascii="Times New Roman" w:hAnsi="Times New Roman" w:cs="Times New Roman"/>
        </w:rPr>
        <w:t>设备</w:t>
      </w:r>
      <w:r>
        <w:rPr>
          <w:rFonts w:hint="default" w:ascii="Times New Roman" w:hAnsi="Times New Roman" w:cs="Times New Roman"/>
          <w:lang w:eastAsia="zh-CN"/>
        </w:rPr>
        <w:t>的</w:t>
      </w:r>
      <w:r>
        <w:rPr>
          <w:rFonts w:hint="default" w:ascii="Times New Roman" w:hAnsi="Times New Roman" w:cs="Times New Roman"/>
        </w:rPr>
        <w:t>维护、维修工作，确保各类环保设施正常运行，规范各环节操作规范。</w:t>
      </w:r>
      <w:r>
        <w:rPr>
          <w:rFonts w:hint="default" w:ascii="Times New Roman" w:hAnsi="Times New Roman" w:cs="Times New Roman"/>
          <w:lang w:eastAsia="zh-CN"/>
        </w:rPr>
        <w:t>对污水处理设施等重点区域</w:t>
      </w:r>
      <w:r>
        <w:rPr>
          <w:rFonts w:hint="default" w:ascii="Times New Roman" w:hAnsi="Times New Roman" w:cs="Times New Roman"/>
        </w:rPr>
        <w:t>应加强防渗处理和硬化，防止污染物下渗对</w:t>
      </w:r>
      <w:r>
        <w:rPr>
          <w:rFonts w:hint="default" w:ascii="Times New Roman" w:hAnsi="Times New Roman" w:cs="Times New Roman"/>
          <w:lang w:eastAsia="zh-CN"/>
        </w:rPr>
        <w:t>土壤及</w:t>
      </w:r>
      <w:r>
        <w:rPr>
          <w:rFonts w:hint="default" w:ascii="Times New Roman" w:hAnsi="Times New Roman" w:cs="Times New Roman"/>
        </w:rPr>
        <w:t>地下水环境产生的影响。</w:t>
      </w:r>
    </w:p>
    <w:p>
      <w:pPr>
        <w:pageBreakBefore w:val="0"/>
        <w:kinsoku/>
        <w:wordWrap/>
        <w:overflowPunct/>
        <w:topLinePunct w:val="0"/>
        <w:bidi w:val="0"/>
        <w:spacing w:line="360" w:lineRule="auto"/>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）根据《土壤污染防治行动计划》（国发[2016]31号）、《河北省“净土行动”土壤污染防治工作方案》（冀政发[2017]3号）等文件要求，</w:t>
      </w:r>
      <w:r>
        <w:rPr>
          <w:rFonts w:hint="default" w:ascii="Times New Roman" w:hAnsi="Times New Roman" w:cs="Times New Roman"/>
          <w:lang w:eastAsia="zh-CN"/>
        </w:rPr>
        <w:t>建议</w:t>
      </w:r>
      <w:r>
        <w:rPr>
          <w:rFonts w:hint="default" w:ascii="Times New Roman" w:hAnsi="Times New Roman" w:cs="Times New Roman"/>
        </w:rPr>
        <w:t>环境保护主管部门</w:t>
      </w:r>
      <w:r>
        <w:rPr>
          <w:rFonts w:hint="default" w:ascii="Times New Roman" w:hAnsi="Times New Roman" w:cs="Times New Roman"/>
          <w:lang w:eastAsia="zh-CN"/>
        </w:rPr>
        <w:t>保持对本项目企业的环境监管，保障该企业继续保持安全生产，不对厂区内部及周边环境产生环境影响</w:t>
      </w:r>
      <w:r>
        <w:rPr>
          <w:rFonts w:hint="default" w:ascii="Times New Roman" w:hAnsi="Times New Roman" w:cs="Times New Roman"/>
        </w:rPr>
        <w:t>。</w:t>
      </w:r>
    </w:p>
    <w:p>
      <w:pPr>
        <w:widowControl w:val="0"/>
        <w:spacing w:beforeLines="0" w:afterLines="0"/>
        <w:ind w:firstLine="480"/>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2"/>
        <w:ind w:firstLine="0" w:firstLineChars="0"/>
        <w:outlineLvl w:val="0"/>
        <w:rPr>
          <w:rFonts w:hint="default" w:ascii="Times New Roman" w:hAnsi="Times New Roman" w:cs="Times New Roman"/>
          <w:lang w:val="en-US" w:eastAsia="zh-CN"/>
        </w:rPr>
      </w:pPr>
      <w:bookmarkStart w:id="286" w:name="_Toc15982"/>
      <w:r>
        <w:rPr>
          <w:rFonts w:hint="default" w:ascii="Times New Roman" w:hAnsi="Times New Roman" w:cs="Times New Roman"/>
          <w:b/>
          <w:sz w:val="30"/>
          <w:lang w:val="en-US" w:eastAsia="zh-CN"/>
        </w:rPr>
        <w:t xml:space="preserve">附件1 </w:t>
      </w:r>
      <w:bookmarkStart w:id="287" w:name="_Toc516146338"/>
      <w:bookmarkStart w:id="288" w:name="_Toc515984772"/>
      <w:r>
        <w:rPr>
          <w:rFonts w:hint="default" w:ascii="Times New Roman" w:hAnsi="Times New Roman" w:cs="Times New Roman"/>
          <w:b/>
          <w:sz w:val="30"/>
        </w:rPr>
        <w:t>特征因子</w:t>
      </w:r>
      <w:r>
        <w:rPr>
          <w:rFonts w:hint="default" w:ascii="Times New Roman" w:hAnsi="Times New Roman" w:cs="Times New Roman"/>
          <w:b/>
          <w:sz w:val="30"/>
          <w:lang w:eastAsia="zh-CN"/>
        </w:rPr>
        <w:t>锌</w:t>
      </w:r>
      <w:r>
        <w:rPr>
          <w:rFonts w:hint="default" w:ascii="Times New Roman" w:hAnsi="Times New Roman" w:cs="Times New Roman"/>
          <w:b/>
          <w:sz w:val="30"/>
        </w:rPr>
        <w:t>土壤污染风险筛选值的计算</w:t>
      </w:r>
      <w:bookmarkEnd w:id="286"/>
      <w:bookmarkEnd w:id="287"/>
      <w:bookmarkEnd w:id="288"/>
    </w:p>
    <w:p>
      <w:pPr>
        <w:spacing w:before="180" w:after="180" w:line="360" w:lineRule="auto"/>
        <w:ind w:firstLine="0" w:firstLineChars="0"/>
        <w:outlineLvl w:val="1"/>
        <w:rPr>
          <w:rFonts w:hint="default" w:ascii="Times New Roman" w:hAnsi="Times New Roman" w:cs="Times New Roman" w:eastAsiaTheme="majorEastAsia"/>
          <w:b/>
          <w:sz w:val="30"/>
          <w:lang w:eastAsia="zh-CN"/>
        </w:rPr>
      </w:pPr>
      <w:bookmarkStart w:id="289" w:name="_Toc516686387"/>
      <w:bookmarkStart w:id="290" w:name="_Toc516680938"/>
      <w:bookmarkStart w:id="291" w:name="_Toc517257533"/>
      <w:bookmarkStart w:id="292" w:name="_Toc3008"/>
      <w:bookmarkStart w:id="293" w:name="_Toc516677125"/>
      <w:bookmarkStart w:id="294" w:name="_Toc627"/>
      <w:r>
        <w:rPr>
          <w:rFonts w:hint="default" w:ascii="Times New Roman" w:hAnsi="Times New Roman" w:cs="Times New Roman"/>
          <w:b/>
          <w:sz w:val="30"/>
        </w:rPr>
        <w:t>1 特征因子</w:t>
      </w:r>
      <w:bookmarkEnd w:id="289"/>
      <w:bookmarkEnd w:id="290"/>
      <w:bookmarkEnd w:id="291"/>
      <w:bookmarkEnd w:id="292"/>
      <w:bookmarkEnd w:id="293"/>
      <w:r>
        <w:rPr>
          <w:rFonts w:hint="default" w:ascii="Times New Roman" w:hAnsi="Times New Roman" w:cs="Times New Roman"/>
          <w:b/>
          <w:sz w:val="30"/>
          <w:lang w:eastAsia="zh-CN"/>
        </w:rPr>
        <w:t>锌简介</w:t>
      </w:r>
      <w:bookmarkEnd w:id="294"/>
    </w:p>
    <w:p>
      <w:pPr>
        <w:numPr>
          <w:ilvl w:val="-1"/>
          <w:numId w:val="0"/>
        </w:num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锌(</w:t>
      </w:r>
      <w:r>
        <w:rPr>
          <w:rFonts w:hint="default" w:ascii="Times New Roman" w:hAnsi="Times New Roman" w:cs="Times New Roman"/>
          <w:color w:val="333333"/>
          <w:sz w:val="24"/>
          <w:shd w:val="clear" w:color="auto" w:fill="FFFFFF"/>
        </w:rPr>
        <w:t>zinc，</w:t>
      </w:r>
      <w:r>
        <w:rPr>
          <w:rFonts w:hint="default" w:ascii="Times New Roman" w:hAnsi="Times New Roman" w:cs="Times New Roman"/>
          <w:sz w:val="24"/>
        </w:rPr>
        <w:t>Zn)是一种浅灰色的</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"https://baike.baidu.com/item/%E8%BF%87%E6%B8%A1%E9%87%91%E5%B1%9E/2444178"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过渡金属</w:t>
      </w:r>
      <w:r>
        <w:rPr>
          <w:rFonts w:hint="default" w:ascii="Times New Roman" w:hAnsi="Times New Roman" w:cs="Times New Roman"/>
          <w:sz w:val="24"/>
        </w:rPr>
        <w:fldChar w:fldCharType="end"/>
      </w:r>
      <w:r>
        <w:rPr>
          <w:rFonts w:hint="default" w:ascii="Times New Roman" w:hAnsi="Times New Roman" w:cs="Times New Roman"/>
          <w:sz w:val="24"/>
        </w:rPr>
        <w:t>，是第四"常见"的金属，仅次于铁、铝及铜，在现代工业中对于</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"https://baike.baidu.com/item/%E7%94%B5%E6%B1%A0/336292"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电池</w:t>
      </w:r>
      <w:r>
        <w:rPr>
          <w:rFonts w:hint="default" w:ascii="Times New Roman" w:hAnsi="Times New Roman" w:cs="Times New Roman"/>
          <w:sz w:val="24"/>
        </w:rPr>
        <w:fldChar w:fldCharType="end"/>
      </w:r>
      <w:r>
        <w:rPr>
          <w:rFonts w:hint="default" w:ascii="Times New Roman" w:hAnsi="Times New Roman" w:cs="Times New Roman"/>
          <w:sz w:val="24"/>
        </w:rPr>
        <w:t>制造有不可磨灭的地位，也常用于</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"https://baike.baidu.com/item/%E9%95%80%E9%94%8C"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镀锌</w:t>
      </w:r>
      <w:r>
        <w:rPr>
          <w:rFonts w:hint="default" w:ascii="Times New Roman" w:hAnsi="Times New Roman" w:cs="Times New Roman"/>
          <w:sz w:val="24"/>
        </w:rPr>
        <w:fldChar w:fldCharType="end"/>
      </w:r>
      <w:r>
        <w:rPr>
          <w:rFonts w:hint="default" w:ascii="Times New Roman" w:hAnsi="Times New Roman" w:cs="Times New Roman"/>
          <w:sz w:val="24"/>
        </w:rPr>
        <w:t>工业，钢材和钢结构件的表面镀层(如镀锌板)，广泛用于汽车、建筑、船舶、轻工等行业。另外，锌是人体必需的微量元素之一，在人体生长发育、生殖遗传、免疫、内分泌等重要生理过程中起着极其重要的作用。熔点419.53℃，在</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"https://baike.baidu.com/item/%E5%AE%A4%E6%B8%A9"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室温</w:t>
      </w:r>
      <w:r>
        <w:rPr>
          <w:rFonts w:hint="default" w:ascii="Times New Roman" w:hAnsi="Times New Roman" w:cs="Times New Roman"/>
          <w:sz w:val="24"/>
        </w:rPr>
        <w:fldChar w:fldCharType="end"/>
      </w:r>
      <w:r>
        <w:rPr>
          <w:rFonts w:hint="default" w:ascii="Times New Roman" w:hAnsi="Times New Roman" w:cs="Times New Roman"/>
          <w:sz w:val="24"/>
        </w:rPr>
        <w:t>下，性较脆；100～150℃时，变软；超过200℃后，又变脆。锌的</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"https://baike.baidu.com/item/%E5%8C%96%E5%AD%A6%E6%80%A7%E8%B4%A8"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化学性质</w:t>
      </w:r>
      <w:r>
        <w:rPr>
          <w:rFonts w:hint="default" w:ascii="Times New Roman" w:hAnsi="Times New Roman" w:cs="Times New Roman"/>
          <w:sz w:val="24"/>
        </w:rPr>
        <w:fldChar w:fldCharType="end"/>
      </w:r>
      <w:r>
        <w:rPr>
          <w:rFonts w:hint="default" w:ascii="Times New Roman" w:hAnsi="Times New Roman" w:cs="Times New Roman"/>
          <w:sz w:val="24"/>
        </w:rPr>
        <w:t>活泼，在</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"https://baike.baidu.com/item/%E5%B8%B8%E6%B8%A9"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常温</w:t>
      </w:r>
      <w:r>
        <w:rPr>
          <w:rFonts w:hint="default" w:ascii="Times New Roman" w:hAnsi="Times New Roman" w:cs="Times New Roman"/>
          <w:sz w:val="24"/>
        </w:rPr>
        <w:fldChar w:fldCharType="end"/>
      </w:r>
      <w:r>
        <w:rPr>
          <w:rFonts w:hint="default" w:ascii="Times New Roman" w:hAnsi="Times New Roman" w:cs="Times New Roman"/>
          <w:sz w:val="24"/>
        </w:rPr>
        <w:t>下的</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"https://baike.baidu.com/item/%E7%A9%BA%E6%B0%94"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空气</w:t>
      </w:r>
      <w:r>
        <w:rPr>
          <w:rFonts w:hint="default" w:ascii="Times New Roman" w:hAnsi="Times New Roman" w:cs="Times New Roman"/>
          <w:sz w:val="24"/>
        </w:rPr>
        <w:fldChar w:fldCharType="end"/>
      </w:r>
      <w:r>
        <w:rPr>
          <w:rFonts w:hint="default" w:ascii="Times New Roman" w:hAnsi="Times New Roman" w:cs="Times New Roman"/>
          <w:sz w:val="24"/>
        </w:rPr>
        <w:t>中，表面生成一层薄而致密的</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"https://baike.baidu.com/item/%E7%A2%B1%E5%BC%8F%E7%A2%B3%E9%85%B8%E9%94%8C"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碱式碳酸锌</w:t>
      </w:r>
      <w:r>
        <w:rPr>
          <w:rFonts w:hint="default" w:ascii="Times New Roman" w:hAnsi="Times New Roman" w:cs="Times New Roman"/>
          <w:sz w:val="24"/>
        </w:rPr>
        <w:fldChar w:fldCharType="end"/>
      </w:r>
      <w:r>
        <w:rPr>
          <w:rFonts w:hint="default" w:ascii="Times New Roman" w:hAnsi="Times New Roman" w:cs="Times New Roman"/>
          <w:sz w:val="24"/>
        </w:rPr>
        <w:t>膜，可</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"https://baike.baidu.com/item/%E9%98%BB%E6%AD%A2"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阻止</w:t>
      </w:r>
      <w:r>
        <w:rPr>
          <w:rFonts w:hint="default" w:ascii="Times New Roman" w:hAnsi="Times New Roman" w:cs="Times New Roman"/>
          <w:sz w:val="24"/>
        </w:rPr>
        <w:fldChar w:fldCharType="end"/>
      </w:r>
      <w:r>
        <w:rPr>
          <w:rFonts w:hint="default" w:ascii="Times New Roman" w:hAnsi="Times New Roman" w:cs="Times New Roman"/>
          <w:sz w:val="24"/>
        </w:rPr>
        <w:t>进一步</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"https://baike.baidu.com/item/%E6%B0%A7%E5%8C%96"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氧化</w:t>
      </w:r>
      <w:r>
        <w:rPr>
          <w:rFonts w:hint="default" w:ascii="Times New Roman" w:hAnsi="Times New Roman" w:cs="Times New Roman"/>
          <w:sz w:val="24"/>
        </w:rPr>
        <w:fldChar w:fldCharType="end"/>
      </w:r>
      <w:r>
        <w:rPr>
          <w:rFonts w:hint="default" w:ascii="Times New Roman" w:hAnsi="Times New Roman" w:cs="Times New Roman"/>
          <w:sz w:val="24"/>
        </w:rPr>
        <w:t>。当温度达到225℃后，锌</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"https://baike.baidu.com/item/%E5%89%A7%E7%83%88%E6%B0%A7%E5%8C%96"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剧烈氧化</w:t>
      </w:r>
      <w:r>
        <w:rPr>
          <w:rFonts w:hint="default" w:ascii="Times New Roman" w:hAnsi="Times New Roman" w:cs="Times New Roman"/>
          <w:sz w:val="24"/>
        </w:rPr>
        <w:fldChar w:fldCharType="end"/>
      </w:r>
      <w:r>
        <w:rPr>
          <w:rFonts w:hint="default" w:ascii="Times New Roman" w:hAnsi="Times New Roman" w:cs="Times New Roman"/>
          <w:sz w:val="24"/>
        </w:rPr>
        <w:t>。锌粉属于</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"https://baike.baidu.com/item/%E6%98%93%E5%88%B6%E7%88%86"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易制爆</w:t>
      </w:r>
      <w:r>
        <w:rPr>
          <w:rFonts w:hint="default" w:ascii="Times New Roman" w:hAnsi="Times New Roman" w:cs="Times New Roman"/>
          <w:sz w:val="24"/>
        </w:rPr>
        <w:fldChar w:fldCharType="end"/>
      </w:r>
      <w:r>
        <w:rPr>
          <w:rFonts w:hint="default" w:ascii="Times New Roman" w:hAnsi="Times New Roman" w:cs="Times New Roman"/>
          <w:sz w:val="24"/>
        </w:rPr>
        <w:t>物品，根据《</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"https://baike.baidu.com/item/%E5%8D%B1%E9%99%A9%E5%8C%96%E5%AD%A6%E5%93%81%E5%AE%89%E5%85%A8%E7%AE%A1%E7%90%86%E6%9D%A1%E4%BE%8B"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危险化学品安全管理条例</w:t>
      </w:r>
      <w:r>
        <w:rPr>
          <w:rFonts w:hint="default" w:ascii="Times New Roman" w:hAnsi="Times New Roman" w:cs="Times New Roman"/>
          <w:sz w:val="24"/>
        </w:rPr>
        <w:fldChar w:fldCharType="end"/>
      </w:r>
      <w:r>
        <w:rPr>
          <w:rFonts w:hint="default" w:ascii="Times New Roman" w:hAnsi="Times New Roman" w:cs="Times New Roman"/>
          <w:sz w:val="24"/>
        </w:rPr>
        <w:t>》受</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"https://baike.baidu.com/item/%E5%85%AC%E5%AE%89/22645"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公安</w:t>
      </w:r>
      <w:r>
        <w:rPr>
          <w:rFonts w:hint="default" w:ascii="Times New Roman" w:hAnsi="Times New Roman" w:cs="Times New Roman"/>
          <w:sz w:val="24"/>
        </w:rPr>
        <w:fldChar w:fldCharType="end"/>
      </w:r>
      <w:r>
        <w:rPr>
          <w:rFonts w:hint="default" w:ascii="Times New Roman" w:hAnsi="Times New Roman" w:cs="Times New Roman"/>
          <w:sz w:val="24"/>
        </w:rPr>
        <w:t>部门管制。其他形状不受管制。</w:t>
      </w:r>
    </w:p>
    <w:p>
      <w:pPr>
        <w:pageBreakBefore w:val="0"/>
        <w:kinsoku/>
        <w:wordWrap/>
        <w:overflowPunct/>
        <w:topLinePunct w:val="0"/>
        <w:bidi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吸入会引起口渴、胸部紧束感、干咳、头痛、头晕、高热、寒战等。粉尘对眼有刺激性。口服刺激胃</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"https://baike.baidu.com/item/%E8%82%A0%E9%81%93" \t "https://baike.baidu.com/item/%E9%94%8C/_blank" </w:instrText>
      </w:r>
      <w:r>
        <w:rPr>
          <w:rFonts w:hint="default" w:ascii="Times New Roman" w:hAnsi="Times New Roman" w:cs="Times New Roman"/>
        </w:rPr>
        <w:fldChar w:fldCharType="separate"/>
      </w:r>
      <w:r>
        <w:rPr>
          <w:rFonts w:hint="default" w:ascii="Times New Roman" w:hAnsi="Times New Roman" w:cs="Times New Roman"/>
          <w:sz w:val="24"/>
        </w:rPr>
        <w:t>肠道</w:t>
      </w:r>
      <w:r>
        <w:rPr>
          <w:rFonts w:hint="default" w:ascii="Times New Roman" w:hAnsi="Times New Roman" w:cs="Times New Roman"/>
          <w:sz w:val="24"/>
        </w:rPr>
        <w:fldChar w:fldCharType="end"/>
      </w:r>
      <w:r>
        <w:rPr>
          <w:rFonts w:hint="default" w:ascii="Times New Roman" w:hAnsi="Times New Roman" w:cs="Times New Roman"/>
          <w:sz w:val="24"/>
        </w:rPr>
        <w:t>。长期反复接触对皮肤有刺激性。</w:t>
      </w:r>
    </w:p>
    <w:p>
      <w:pPr>
        <w:spacing w:before="180" w:after="180" w:line="360" w:lineRule="auto"/>
        <w:ind w:firstLine="0" w:firstLineChars="0"/>
        <w:outlineLvl w:val="1"/>
        <w:rPr>
          <w:rFonts w:hint="default" w:ascii="Times New Roman" w:hAnsi="Times New Roman" w:cs="Times New Roman"/>
          <w:b/>
          <w:sz w:val="30"/>
        </w:rPr>
      </w:pPr>
      <w:bookmarkStart w:id="295" w:name="_Toc517257534"/>
      <w:bookmarkStart w:id="296" w:name="_Toc516677127"/>
      <w:bookmarkStart w:id="297" w:name="_Toc516680939"/>
      <w:bookmarkStart w:id="298" w:name="_Toc516686388"/>
      <w:bookmarkStart w:id="299" w:name="_Toc1463"/>
      <w:bookmarkStart w:id="300" w:name="_Toc28052"/>
      <w:r>
        <w:rPr>
          <w:rFonts w:hint="default" w:ascii="Times New Roman" w:hAnsi="Times New Roman" w:cs="Times New Roman"/>
          <w:b/>
          <w:sz w:val="30"/>
        </w:rPr>
        <w:t>2 暴露情景</w:t>
      </w:r>
      <w:bookmarkEnd w:id="295"/>
      <w:bookmarkEnd w:id="296"/>
      <w:bookmarkEnd w:id="297"/>
      <w:bookmarkEnd w:id="298"/>
      <w:bookmarkEnd w:id="299"/>
      <w:bookmarkEnd w:id="300"/>
    </w:p>
    <w:p>
      <w:pPr>
        <w:pageBreakBefore w:val="0"/>
        <w:kinsoku/>
        <w:wordWrap/>
        <w:overflowPunct/>
        <w:topLinePunct w:val="0"/>
        <w:bidi w:val="0"/>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根据HJ 25.3-2014，以住宅用地代表敏感用地（本标准中的“第一类用地”）。敏感用地方式下，对于致癌效应，考虑人群的终生暴露危害，即从儿童期到成人期的整个暴露过程，评估污染物对人体的终生致癌风险；对于非致癌效应，儿童体重较轻、相对暴露量较高，根据儿童暴露来评估污染物的非致癌危害效应。</w:t>
      </w:r>
    </w:p>
    <w:p>
      <w:pPr>
        <w:spacing w:before="180" w:after="180" w:line="360" w:lineRule="auto"/>
        <w:ind w:firstLine="0" w:firstLineChars="0"/>
        <w:outlineLvl w:val="1"/>
        <w:rPr>
          <w:rFonts w:hint="default" w:ascii="Times New Roman" w:hAnsi="Times New Roman" w:cs="Times New Roman"/>
          <w:b/>
          <w:sz w:val="30"/>
        </w:rPr>
      </w:pPr>
      <w:bookmarkStart w:id="301" w:name="_Toc13394"/>
      <w:bookmarkStart w:id="302" w:name="_Toc516680940"/>
      <w:bookmarkStart w:id="303" w:name="_Toc517257535"/>
      <w:bookmarkStart w:id="304" w:name="_Toc516686389"/>
      <w:bookmarkStart w:id="305" w:name="_Toc516677128"/>
      <w:bookmarkStart w:id="306" w:name="_Toc20639"/>
      <w:r>
        <w:rPr>
          <w:rFonts w:hint="default" w:ascii="Times New Roman" w:hAnsi="Times New Roman" w:cs="Times New Roman"/>
          <w:b/>
          <w:sz w:val="30"/>
        </w:rPr>
        <w:t>3 筛选值的计算</w:t>
      </w:r>
      <w:bookmarkEnd w:id="301"/>
      <w:bookmarkEnd w:id="302"/>
      <w:bookmarkEnd w:id="303"/>
      <w:bookmarkEnd w:id="304"/>
      <w:bookmarkEnd w:id="305"/>
      <w:bookmarkEnd w:id="306"/>
    </w:p>
    <w:p>
      <w:pPr>
        <w:pageBreakBefore w:val="0"/>
        <w:kinsoku/>
        <w:wordWrap/>
        <w:overflowPunct/>
        <w:topLinePunct w:val="0"/>
        <w:bidi w:val="0"/>
        <w:spacing w:line="360" w:lineRule="auto"/>
        <w:ind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1、可接受风险水平</w:t>
      </w:r>
    </w:p>
    <w:p>
      <w:pPr>
        <w:pageBreakBefore w:val="0"/>
        <w:kinsoku/>
        <w:wordWrap/>
        <w:overflowPunct/>
        <w:topLinePunct w:val="0"/>
        <w:bidi w:val="0"/>
        <w:spacing w:line="360" w:lineRule="auto"/>
        <w:ind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计算单一污染物基于致癌效应的土壤污染风险筛选值时，结合我国现阶段环境管理需求，筛选值以10</w:t>
      </w:r>
      <w:r>
        <w:rPr>
          <w:rFonts w:hint="default" w:ascii="Times New Roman" w:hAnsi="Times New Roman" w:cs="Times New Roman"/>
          <w:color w:val="000000"/>
          <w:sz w:val="24"/>
          <w:szCs w:val="28"/>
          <w:vertAlign w:val="superscript"/>
        </w:rPr>
        <w:t>-6</w:t>
      </w:r>
      <w:r>
        <w:rPr>
          <w:rFonts w:hint="default" w:ascii="Times New Roman" w:hAnsi="Times New Roman" w:cs="Times New Roman"/>
          <w:color w:val="000000"/>
          <w:sz w:val="24"/>
          <w:szCs w:val="28"/>
        </w:rPr>
        <w:t>致癌风险作为单一污染物（经所有暴露途径）的可接受致癌风险。</w:t>
      </w:r>
    </w:p>
    <w:p>
      <w:pPr>
        <w:pageBreakBefore w:val="0"/>
        <w:kinsoku/>
        <w:wordWrap/>
        <w:overflowPunct/>
        <w:topLinePunct w:val="0"/>
        <w:bidi w:val="0"/>
        <w:spacing w:line="360" w:lineRule="auto"/>
        <w:ind w:firstLine="48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4"/>
          <w:szCs w:val="28"/>
        </w:rPr>
        <w:t>计算单一污染物基于非致癌效应的土壤污染风险筛选值和管制值时，采用的可接受危害商为1。</w:t>
      </w:r>
    </w:p>
    <w:p>
      <w:pPr>
        <w:pageBreakBefore w:val="0"/>
        <w:kinsoku/>
        <w:wordWrap/>
        <w:overflowPunct/>
        <w:topLinePunct w:val="0"/>
        <w:bidi w:val="0"/>
        <w:spacing w:line="360" w:lineRule="auto"/>
        <w:ind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2、基于致癌效应的筛选值计算</w:t>
      </w:r>
    </w:p>
    <w:p>
      <w:pPr>
        <w:pageBreakBefore w:val="0"/>
        <w:kinsoku/>
        <w:wordWrap/>
        <w:overflowPunct/>
        <w:topLinePunct w:val="0"/>
        <w:bidi w:val="0"/>
        <w:spacing w:line="360" w:lineRule="auto"/>
        <w:ind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对于单一污染物，根据HJ 25.3-2014附录E公式（E.1）、（E.2）、（E.3）、（E.4）、（E.5）和（E.6），分别计算基于经口摄入土壤、皮肤接触土壤、吸入土壤颗粒物、吸入室外空气中来自表层土壤的气态污染物、吸入室外空气中来自下层土壤的气态污染物、吸入室内空气中来自下层土壤的气态污染物暴露途径致癌效应的土壤污染风险控制值；根据HJ 25.3-2014附录E公式（E.7），计算单一污染物基于上述6种土壤暴露途径致癌效应的土壤污染风险筛选值。</w:t>
      </w:r>
    </w:p>
    <w:p>
      <w:pPr>
        <w:pageBreakBefore w:val="0"/>
        <w:kinsoku/>
        <w:wordWrap/>
        <w:overflowPunct/>
        <w:topLinePunct w:val="0"/>
        <w:bidi w:val="0"/>
        <w:spacing w:line="360" w:lineRule="auto"/>
        <w:ind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3、基于非致癌效应的筛选值计算</w:t>
      </w:r>
    </w:p>
    <w:p>
      <w:pPr>
        <w:pageBreakBefore w:val="0"/>
        <w:kinsoku/>
        <w:wordWrap/>
        <w:overflowPunct/>
        <w:topLinePunct w:val="0"/>
        <w:bidi w:val="0"/>
        <w:spacing w:line="360" w:lineRule="auto"/>
        <w:ind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对于单一污染物，根据HJ 25.3-2014附录E公式（E.8）、（E.9）、（E.10）、（E.11）、（E.12）和（E.13），计算基于经口摄入土壤、皮肤接触土壤、吸入土壤颗粒物、吸入室外空气中来自表层土壤的气态污染物、吸入室外空气中来自下层土壤的气态污染物、吸入室内空气中来自下层土壤的气态污染物暴露途径非致癌效应的土壤污染风险控制值；根据HJ 25.3-2014附录E公式（E.14），计算单一污染物基于上述6种土壤暴露途径非致癌效应的土壤污染风险筛选值。</w:t>
      </w:r>
    </w:p>
    <w:p>
      <w:pPr>
        <w:spacing w:before="180" w:after="180" w:line="360" w:lineRule="auto"/>
        <w:ind w:firstLine="0" w:firstLineChars="0"/>
        <w:outlineLvl w:val="1"/>
        <w:rPr>
          <w:rFonts w:hint="default" w:ascii="Times New Roman" w:hAnsi="Times New Roman" w:cs="Times New Roman"/>
          <w:b/>
          <w:sz w:val="30"/>
        </w:rPr>
      </w:pPr>
      <w:bookmarkStart w:id="307" w:name="_Toc516680941"/>
      <w:bookmarkStart w:id="308" w:name="_Toc516677129"/>
      <w:bookmarkStart w:id="309" w:name="_Toc516686390"/>
      <w:bookmarkStart w:id="310" w:name="_Toc4649"/>
      <w:bookmarkStart w:id="311" w:name="_Toc517257536"/>
      <w:bookmarkStart w:id="312" w:name="_Toc32423"/>
      <w:r>
        <w:rPr>
          <w:rFonts w:hint="default" w:ascii="Times New Roman" w:hAnsi="Times New Roman" w:cs="Times New Roman"/>
          <w:b/>
          <w:sz w:val="30"/>
        </w:rPr>
        <w:t>4 暴露模型参数</w:t>
      </w:r>
      <w:bookmarkEnd w:id="307"/>
      <w:bookmarkEnd w:id="308"/>
      <w:bookmarkEnd w:id="309"/>
      <w:bookmarkEnd w:id="310"/>
      <w:bookmarkEnd w:id="311"/>
      <w:bookmarkEnd w:id="312"/>
    </w:p>
    <w:p>
      <w:pPr>
        <w:pageBreakBefore w:val="0"/>
        <w:kinsoku/>
        <w:wordWrap/>
        <w:overflowPunct/>
        <w:topLinePunct w:val="0"/>
        <w:bidi w:val="0"/>
        <w:spacing w:line="360" w:lineRule="auto"/>
        <w:ind w:firstLine="480" w:firstLineChars="200"/>
        <w:rPr>
          <w:rFonts w:hint="default" w:ascii="Times New Roman" w:hAnsi="Times New Roman" w:cs="Times New Roman"/>
          <w:b/>
          <w:kern w:val="0"/>
          <w:sz w:val="24"/>
        </w:rPr>
      </w:pPr>
      <w:r>
        <w:rPr>
          <w:rFonts w:hint="default" w:ascii="Times New Roman" w:hAnsi="Times New Roman" w:cs="Times New Roman"/>
          <w:kern w:val="0"/>
          <w:sz w:val="24"/>
        </w:rPr>
        <w:t>《土壤环境质量 建设用地土壤污染风险管控标准（试行）（报批稿）编制说明》针对场地和土壤相关参数、建筑物相关参数、暴露人群相关参数和暴露途径相关参数，经对比、HJ25.3、全国最新统计数据以及国外实际执行情况，明确给出了各参数的取值要求，具体见下表：</w:t>
      </w:r>
    </w:p>
    <w:p>
      <w:pPr>
        <w:pStyle w:val="2"/>
        <w:ind w:firstLine="0" w:firstLineChars="0"/>
        <w:jc w:val="center"/>
        <w:rPr>
          <w:rFonts w:hint="default" w:ascii="Times New Roman" w:hAnsi="Times New Roman" w:cs="Times New Roman"/>
          <w:b/>
          <w:kern w:val="0"/>
          <w:sz w:val="24"/>
        </w:rPr>
      </w:pPr>
      <w:r>
        <w:rPr>
          <w:rFonts w:hint="default" w:ascii="Times New Roman" w:hAnsi="Times New Roman" w:cs="Times New Roman"/>
          <w:b/>
          <w:kern w:val="0"/>
          <w:sz w:val="24"/>
        </w:rPr>
        <w:t xml:space="preserve">表4-1  </w:t>
      </w:r>
      <w:r>
        <w:rPr>
          <w:rFonts w:hint="default" w:ascii="Times New Roman" w:hAnsi="Times New Roman" w:cs="Times New Roman"/>
          <w:b/>
          <w:kern w:val="0"/>
          <w:sz w:val="24"/>
          <w:lang w:eastAsia="zh-CN"/>
        </w:rPr>
        <w:t>受体</w:t>
      </w:r>
      <w:r>
        <w:rPr>
          <w:rFonts w:hint="default" w:ascii="Times New Roman" w:hAnsi="Times New Roman" w:cs="Times New Roman"/>
          <w:b/>
          <w:kern w:val="0"/>
          <w:sz w:val="24"/>
        </w:rPr>
        <w:t>暴露模型参数</w:t>
      </w:r>
    </w:p>
    <w:tbl>
      <w:tblPr>
        <w:tblStyle w:val="16"/>
        <w:tblW w:w="4998" w:type="pct"/>
        <w:tblInd w:w="0" w:type="dxa"/>
        <w:shd w:val="clear" w:color="auto" w:fill="auto"/>
        <w:tblLayout w:type="fixed"/>
        <w:tblCellMar>
          <w:top w:w="0" w:type="dxa"/>
          <w:left w:w="0" w:type="dxa"/>
          <w:bottom w:w="0" w:type="dxa"/>
          <w:right w:w="0" w:type="dxa"/>
        </w:tblCellMar>
      </w:tblPr>
      <w:tblGrid>
        <w:gridCol w:w="3926"/>
        <w:gridCol w:w="1412"/>
        <w:gridCol w:w="1384"/>
        <w:gridCol w:w="1611"/>
      </w:tblGrid>
      <w:tr>
        <w:tblPrEx>
          <w:shd w:val="clear" w:color="auto" w:fill="auto"/>
          <w:tblCellMar>
            <w:top w:w="0" w:type="dxa"/>
            <w:left w:w="0" w:type="dxa"/>
            <w:bottom w:w="0" w:type="dxa"/>
            <w:right w:w="0" w:type="dxa"/>
          </w:tblCellMar>
        </w:tblPrEx>
        <w:trPr>
          <w:trHeight w:val="23" w:hRule="atLeast"/>
        </w:trPr>
        <w:tc>
          <w:tcPr>
            <w:tcW w:w="4033" w:type="pct"/>
            <w:gridSpan w:val="3"/>
            <w:tcBorders>
              <w:top w:val="single" w:color="000000" w:sz="8"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b/>
                <w:bCs/>
                <w:sz w:val="21"/>
                <w:szCs w:val="21"/>
                <w:lang w:val="en-US" w:eastAsia="zh-CN"/>
              </w:rPr>
              <w:t>受体暴露参数</w:t>
            </w:r>
          </w:p>
        </w:tc>
        <w:tc>
          <w:tcPr>
            <w:tcW w:w="966" w:type="pct"/>
            <w:tcBorders>
              <w:top w:val="single" w:color="000000" w:sz="8"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b/>
                <w:bCs/>
                <w:sz w:val="21"/>
                <w:szCs w:val="21"/>
                <w:lang w:val="en-US" w:eastAsia="zh-CN"/>
              </w:rPr>
              <w:t>原场</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参数名称</w:t>
            </w:r>
          </w:p>
        </w:tc>
        <w:tc>
          <w:tcPr>
            <w:tcW w:w="847"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符号</w:t>
            </w:r>
          </w:p>
        </w:tc>
        <w:tc>
          <w:tcPr>
            <w:tcW w:w="830"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单位</w:t>
            </w:r>
          </w:p>
        </w:tc>
        <w:tc>
          <w:tcPr>
            <w:tcW w:w="966"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非敏感用地</w:t>
            </w:r>
          </w:p>
        </w:tc>
      </w:tr>
      <w:tr>
        <w:tblPrEx>
          <w:tblCellMar>
            <w:top w:w="0" w:type="dxa"/>
            <w:left w:w="0" w:type="dxa"/>
            <w:bottom w:w="0" w:type="dxa"/>
            <w:right w:w="0" w:type="dxa"/>
          </w:tblCellMar>
        </w:tblPrEx>
        <w:trPr>
          <w:trHeight w:val="23" w:hRule="atLeast"/>
        </w:trPr>
        <w:tc>
          <w:tcPr>
            <w:tcW w:w="2355" w:type="pct"/>
            <w:tcBorders>
              <w:top w:val="nil"/>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成人平均体重</w:t>
            </w:r>
          </w:p>
        </w:tc>
        <w:tc>
          <w:tcPr>
            <w:tcW w:w="84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BWa</w:t>
            </w:r>
          </w:p>
        </w:tc>
        <w:tc>
          <w:tcPr>
            <w:tcW w:w="830"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kg</w:t>
            </w:r>
          </w:p>
        </w:tc>
        <w:tc>
          <w:tcPr>
            <w:tcW w:w="966"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61.8</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儿童平均体重</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BWc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kg</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成人平均身高</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Ha</w:t>
            </w:r>
          </w:p>
        </w:tc>
        <w:tc>
          <w:tcPr>
            <w:tcW w:w="8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cm</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161.5</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儿童平均身高</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Hc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cm</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成人暴露期</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EDa</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a</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25</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儿童暴露期</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EDc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a</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成人暴露频率（经口摄入和皮肤接触）</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EFa</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d/a</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250</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儿童暴露频率（经口摄入和皮肤接触）</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EFc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d/a</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成人室内暴露频率（呼吸吸入）</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EFIa</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d/a</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187.5</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成人室外暴露频率（呼吸吸入）</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EFOa</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d/a</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87.5</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儿童室内暴露频率（呼吸吸入）</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EFIc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d/a</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儿童室外暴露频率（呼吸吸入）</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EFOc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d/a</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成人暴露皮肤所占体表面积比</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SERa</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0.18</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儿童暴露皮肤所占体表面积比</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SERc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成人皮肤表面土壤粘附系数</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SSARa</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mg/cm</w:t>
            </w:r>
            <w:r>
              <w:rPr>
                <w:rFonts w:hint="default"/>
                <w:sz w:val="21"/>
                <w:szCs w:val="21"/>
                <w:vertAlign w:val="superscript"/>
                <w:lang w:val="en-US" w:eastAsia="zh-CN"/>
              </w:rPr>
              <w:t>2</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0.2</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lang w:val="en-US" w:eastAsia="zh-CN"/>
              </w:rPr>
              <w:t>儿童皮肤表面土壤粘附系数</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SSARc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mg/cm</w:t>
            </w:r>
            <w:r>
              <w:rPr>
                <w:rFonts w:hint="default"/>
                <w:sz w:val="21"/>
                <w:szCs w:val="21"/>
                <w:vertAlign w:val="superscript"/>
                <w:lang w:val="en-US" w:eastAsia="zh-CN"/>
              </w:rPr>
              <w:t>2</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每日皮肤接触事件频率</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Ev</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次/d</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成人每日摄入土壤量</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OSIRa</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g/d</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0.1</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儿童每日摄入土壤量</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OSIRc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g/d</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成人每日饮用水量</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GWCRa</w:t>
            </w:r>
          </w:p>
        </w:tc>
        <w:tc>
          <w:tcPr>
            <w:tcW w:w="8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mL/d</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1000</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儿童每日饮用水量</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GWCRc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mL/d</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成人每日空气呼吸量</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DAIRa</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w:t>
            </w:r>
            <w:r>
              <w:rPr>
                <w:rFonts w:hint="default"/>
                <w:sz w:val="21"/>
                <w:szCs w:val="21"/>
                <w:vertAlign w:val="superscript"/>
                <w:lang w:val="en-US" w:eastAsia="zh-CN"/>
              </w:rPr>
              <w:t>3</w:t>
            </w:r>
            <w:r>
              <w:rPr>
                <w:rFonts w:hint="default"/>
                <w:sz w:val="21"/>
                <w:szCs w:val="21"/>
                <w:lang w:val="en-US" w:eastAsia="zh-CN"/>
              </w:rPr>
              <w:t>/d</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14.5</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儿童每日空气呼吸量</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DAIRc</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w:t>
            </w:r>
            <w:r>
              <w:rPr>
                <w:rFonts w:hint="default"/>
                <w:sz w:val="21"/>
                <w:szCs w:val="21"/>
                <w:vertAlign w:val="superscript"/>
                <w:lang w:val="en-US" w:eastAsia="zh-CN"/>
              </w:rPr>
              <w:t>3</w:t>
            </w:r>
            <w:r>
              <w:rPr>
                <w:rFonts w:hint="default"/>
                <w:sz w:val="21"/>
                <w:szCs w:val="21"/>
                <w:lang w:val="en-US" w:eastAsia="zh-CN"/>
              </w:rPr>
              <w:t>/d</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气态污染物入侵持续时间</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τ</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s</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7.57E+08</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室内空气中来自土壤的颗粒物所占比例</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fspi</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0.8</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室外空气中来自土壤的颗粒物所占比例</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fspo</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0.5</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吸入土壤颗粒物在体内滞留比例</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PIAF</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0.75</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成人每日摄入叶菜量</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CRaleafy</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g/d</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6</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儿童每日摄入叶菜量</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CRcleafy</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g/d</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成人每日摄入根菜量</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CRaroot</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g/d</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2</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儿童每日摄入根菜量</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CRcroot</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g/d</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摄入自产叶菜比例</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HFleafyo</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0.05</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摄入自产根菜比例</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HFrooto</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0.06</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非致癌效应平均时间</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ATnc</w:t>
            </w:r>
          </w:p>
        </w:tc>
        <w:tc>
          <w:tcPr>
            <w:tcW w:w="8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9125</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致癌效应平均时间</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ATca</w:t>
            </w:r>
          </w:p>
        </w:tc>
        <w:tc>
          <w:tcPr>
            <w:tcW w:w="8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27740</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可接受致癌风险</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ACR</w:t>
            </w:r>
          </w:p>
        </w:tc>
        <w:tc>
          <w:tcPr>
            <w:tcW w:w="8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1.00E-06</w:t>
            </w:r>
          </w:p>
        </w:tc>
      </w:tr>
      <w:tr>
        <w:tblPrEx>
          <w:tblCellMar>
            <w:top w:w="0" w:type="dxa"/>
            <w:left w:w="0" w:type="dxa"/>
            <w:bottom w:w="0" w:type="dxa"/>
            <w:right w:w="0" w:type="dxa"/>
          </w:tblCellMar>
        </w:tblPrEx>
        <w:trPr>
          <w:trHeight w:val="23" w:hRule="atLeast"/>
        </w:trPr>
        <w:tc>
          <w:tcPr>
            <w:tcW w:w="2355"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可接受危害商</w:t>
            </w:r>
          </w:p>
        </w:tc>
        <w:tc>
          <w:tcPr>
            <w:tcW w:w="847"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AHQ</w:t>
            </w:r>
          </w:p>
        </w:tc>
        <w:tc>
          <w:tcPr>
            <w:tcW w:w="830"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966"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w:t>
            </w:r>
          </w:p>
        </w:tc>
      </w:tr>
    </w:tbl>
    <w:p>
      <w:pPr>
        <w:pStyle w:val="2"/>
        <w:ind w:firstLine="0" w:firstLineChars="0"/>
        <w:jc w:val="center"/>
        <w:rPr>
          <w:rFonts w:hint="default" w:ascii="Times New Roman" w:hAnsi="Times New Roman" w:cs="Times New Roman"/>
          <w:b/>
          <w:kern w:val="0"/>
          <w:sz w:val="24"/>
          <w:lang w:val="en-US" w:eastAsia="zh-CN"/>
        </w:rPr>
      </w:pPr>
      <w:r>
        <w:rPr>
          <w:rFonts w:hint="default" w:ascii="Times New Roman" w:hAnsi="Times New Roman" w:cs="Times New Roman"/>
          <w:b/>
          <w:kern w:val="0"/>
          <w:sz w:val="24"/>
        </w:rPr>
        <w:t>表4-</w:t>
      </w:r>
      <w:r>
        <w:rPr>
          <w:rFonts w:hint="default" w:ascii="Times New Roman" w:hAnsi="Times New Roman" w:cs="Times New Roman"/>
          <w:b/>
          <w:kern w:val="0"/>
          <w:sz w:val="24"/>
          <w:lang w:val="en-US" w:eastAsia="zh-CN"/>
        </w:rPr>
        <w:t>2</w:t>
      </w:r>
      <w:r>
        <w:rPr>
          <w:rFonts w:hint="default" w:ascii="Times New Roman" w:hAnsi="Times New Roman" w:cs="Times New Roman"/>
          <w:b/>
          <w:kern w:val="0"/>
          <w:sz w:val="24"/>
        </w:rPr>
        <w:t xml:space="preserve">  </w:t>
      </w:r>
      <w:r>
        <w:rPr>
          <w:rFonts w:hint="default" w:ascii="Times New Roman" w:hAnsi="Times New Roman" w:cs="Times New Roman"/>
          <w:b/>
          <w:kern w:val="0"/>
          <w:sz w:val="24"/>
          <w:lang w:eastAsia="zh-CN"/>
        </w:rPr>
        <w:t>区域土壤性质</w:t>
      </w:r>
      <w:r>
        <w:rPr>
          <w:rFonts w:hint="default" w:ascii="Times New Roman" w:hAnsi="Times New Roman" w:cs="Times New Roman"/>
          <w:b/>
          <w:kern w:val="0"/>
          <w:sz w:val="24"/>
        </w:rPr>
        <w:t>参数</w:t>
      </w:r>
    </w:p>
    <w:tbl>
      <w:tblPr>
        <w:tblStyle w:val="16"/>
        <w:tblW w:w="5000" w:type="pct"/>
        <w:tblInd w:w="0" w:type="dxa"/>
        <w:shd w:val="clear" w:color="auto" w:fill="auto"/>
        <w:tblLayout w:type="autofit"/>
        <w:tblCellMar>
          <w:top w:w="0" w:type="dxa"/>
          <w:left w:w="0" w:type="dxa"/>
          <w:bottom w:w="0" w:type="dxa"/>
          <w:right w:w="0" w:type="dxa"/>
        </w:tblCellMar>
      </w:tblPr>
      <w:tblGrid>
        <w:gridCol w:w="3037"/>
        <w:gridCol w:w="1897"/>
        <w:gridCol w:w="1611"/>
        <w:gridCol w:w="1791"/>
      </w:tblGrid>
      <w:tr>
        <w:tblPrEx>
          <w:shd w:val="clear" w:color="auto" w:fill="auto"/>
          <w:tblCellMar>
            <w:top w:w="0" w:type="dxa"/>
            <w:left w:w="0" w:type="dxa"/>
            <w:bottom w:w="0" w:type="dxa"/>
            <w:right w:w="0" w:type="dxa"/>
          </w:tblCellMar>
        </w:tblPrEx>
        <w:trPr>
          <w:trHeight w:val="23" w:hRule="atLeast"/>
        </w:trPr>
        <w:tc>
          <w:tcPr>
            <w:tcW w:w="5000" w:type="pct"/>
            <w:gridSpan w:val="4"/>
            <w:tcBorders>
              <w:top w:val="single" w:color="000000" w:sz="8"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lang w:val="en-US" w:eastAsia="zh-CN"/>
              </w:rPr>
              <w:t>土壤性质参数</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参数名称</w:t>
            </w:r>
          </w:p>
        </w:tc>
        <w:tc>
          <w:tcPr>
            <w:tcW w:w="1138"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符号</w:t>
            </w:r>
          </w:p>
        </w:tc>
        <w:tc>
          <w:tcPr>
            <w:tcW w:w="966"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单位</w:t>
            </w:r>
          </w:p>
        </w:tc>
        <w:tc>
          <w:tcPr>
            <w:tcW w:w="1073"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取值</w:t>
            </w:r>
          </w:p>
        </w:tc>
      </w:tr>
      <w:tr>
        <w:tblPrEx>
          <w:tblCellMar>
            <w:top w:w="0" w:type="dxa"/>
            <w:left w:w="0" w:type="dxa"/>
            <w:bottom w:w="0" w:type="dxa"/>
            <w:right w:w="0" w:type="dxa"/>
          </w:tblCellMar>
        </w:tblPrEx>
        <w:trPr>
          <w:trHeight w:val="23" w:hRule="atLeast"/>
        </w:trPr>
        <w:tc>
          <w:tcPr>
            <w:tcW w:w="1822" w:type="pct"/>
            <w:tcBorders>
              <w:top w:val="nil"/>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表层污染土壤层厚度</w:t>
            </w:r>
          </w:p>
        </w:tc>
        <w:tc>
          <w:tcPr>
            <w:tcW w:w="1138"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d</w:t>
            </w:r>
          </w:p>
        </w:tc>
        <w:tc>
          <w:tcPr>
            <w:tcW w:w="966"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p>
        </w:tc>
        <w:tc>
          <w:tcPr>
            <w:tcW w:w="1073" w:type="pct"/>
            <w:tcBorders>
              <w:top w:val="nil"/>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下层污染土壤层厚度</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dsub</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下层污染土壤层顶部埋深</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Ls</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污染土壤层厚度</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L1</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污染土壤层顶部至地下水面的距离</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L2</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平行于风向的土壤污染源宽度</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Wdw</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平行于地下水流向的土壤污染源宽度</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Wgw</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土壤中水的入渗速率</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I</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m/a</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包气带孔隙水体积比</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θws</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0.15</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包气带孔隙空气体积比</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θas</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0.28</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包气带土壤容重</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ρb</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g/cm</w:t>
            </w:r>
            <w:r>
              <w:rPr>
                <w:rFonts w:hint="default" w:ascii="Times New Roman" w:hAnsi="Times New Roman" w:eastAsia="宋体" w:cs="Times New Roman"/>
                <w:sz w:val="21"/>
                <w:szCs w:val="21"/>
                <w:vertAlign w:val="superscript"/>
                <w:lang w:val="en-US" w:eastAsia="zh-CN"/>
              </w:rPr>
              <w:t>3</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包气带土壤有机碳质量分数</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foc</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0.0058</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毛细管层孔隙水体积比</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θwcap</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0.342</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毛细管层孔隙空气体积比</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θacap</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0.038</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土壤地下水交界处毛细管层厚度</w:t>
            </w:r>
          </w:p>
        </w:tc>
        <w:tc>
          <w:tcPr>
            <w:tcW w:w="11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hcap</w:t>
            </w:r>
          </w:p>
        </w:tc>
        <w:tc>
          <w:tcPr>
            <w:tcW w:w="9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p>
        </w:tc>
        <w:tc>
          <w:tcPr>
            <w:tcW w:w="107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0.05</w:t>
            </w:r>
          </w:p>
        </w:tc>
      </w:tr>
      <w:tr>
        <w:tblPrEx>
          <w:tblCellMar>
            <w:top w:w="0" w:type="dxa"/>
            <w:left w:w="0" w:type="dxa"/>
            <w:bottom w:w="0" w:type="dxa"/>
            <w:right w:w="0" w:type="dxa"/>
          </w:tblCellMar>
        </w:tblPrEx>
        <w:trPr>
          <w:trHeight w:val="23" w:hRule="atLeast"/>
        </w:trPr>
        <w:tc>
          <w:tcPr>
            <w:tcW w:w="1822"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土壤透性系数</w:t>
            </w:r>
          </w:p>
        </w:tc>
        <w:tc>
          <w:tcPr>
            <w:tcW w:w="1138"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Kv</w:t>
            </w:r>
          </w:p>
        </w:tc>
        <w:tc>
          <w:tcPr>
            <w:tcW w:w="966"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073"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1.00E-12</w:t>
            </w:r>
          </w:p>
        </w:tc>
      </w:tr>
    </w:tbl>
    <w:p>
      <w:pPr>
        <w:pStyle w:val="2"/>
        <w:pageBreakBefore w:val="0"/>
        <w:kinsoku/>
        <w:wordWrap/>
        <w:overflowPunct/>
        <w:topLinePunct w:val="0"/>
        <w:bidi w:val="0"/>
        <w:spacing w:line="360" w:lineRule="auto"/>
        <w:ind w:firstLine="0" w:firstLineChars="0"/>
        <w:jc w:val="center"/>
        <w:rPr>
          <w:rFonts w:hint="default" w:ascii="Times New Roman" w:hAnsi="Times New Roman" w:cs="Times New Roman"/>
          <w:b/>
          <w:kern w:val="0"/>
          <w:sz w:val="24"/>
        </w:rPr>
      </w:pPr>
      <w:r>
        <w:rPr>
          <w:rFonts w:hint="default" w:ascii="Times New Roman" w:hAnsi="Times New Roman" w:cs="Times New Roman"/>
          <w:b/>
          <w:kern w:val="0"/>
          <w:sz w:val="24"/>
        </w:rPr>
        <w:t>表4-</w:t>
      </w:r>
      <w:r>
        <w:rPr>
          <w:rFonts w:hint="default" w:ascii="Times New Roman" w:hAnsi="Times New Roman" w:cs="Times New Roman"/>
          <w:b/>
          <w:kern w:val="0"/>
          <w:sz w:val="24"/>
          <w:lang w:val="en-US" w:eastAsia="zh-CN"/>
        </w:rPr>
        <w:t>3</w:t>
      </w:r>
      <w:r>
        <w:rPr>
          <w:rFonts w:hint="default" w:ascii="Times New Roman" w:hAnsi="Times New Roman" w:cs="Times New Roman"/>
          <w:b/>
          <w:kern w:val="0"/>
          <w:sz w:val="24"/>
        </w:rPr>
        <w:t xml:space="preserve">  </w:t>
      </w:r>
      <w:r>
        <w:rPr>
          <w:rFonts w:hint="default" w:ascii="Times New Roman" w:hAnsi="Times New Roman" w:cs="Times New Roman"/>
          <w:b/>
          <w:kern w:val="0"/>
          <w:sz w:val="24"/>
          <w:lang w:eastAsia="zh-CN"/>
        </w:rPr>
        <w:t>建筑物特征</w:t>
      </w:r>
      <w:r>
        <w:rPr>
          <w:rFonts w:hint="default" w:ascii="Times New Roman" w:hAnsi="Times New Roman" w:cs="Times New Roman"/>
          <w:b/>
          <w:kern w:val="0"/>
          <w:sz w:val="24"/>
        </w:rPr>
        <w:t>参数</w:t>
      </w:r>
    </w:p>
    <w:tbl>
      <w:tblPr>
        <w:tblStyle w:val="16"/>
        <w:tblW w:w="4999" w:type="pct"/>
        <w:tblInd w:w="0" w:type="dxa"/>
        <w:shd w:val="clear" w:color="auto" w:fill="auto"/>
        <w:tblLayout w:type="autofit"/>
        <w:tblCellMar>
          <w:top w:w="0" w:type="dxa"/>
          <w:left w:w="0" w:type="dxa"/>
          <w:bottom w:w="0" w:type="dxa"/>
          <w:right w:w="0" w:type="dxa"/>
        </w:tblCellMar>
      </w:tblPr>
      <w:tblGrid>
        <w:gridCol w:w="3449"/>
        <w:gridCol w:w="1385"/>
        <w:gridCol w:w="1284"/>
        <w:gridCol w:w="2216"/>
      </w:tblGrid>
      <w:tr>
        <w:tblPrEx>
          <w:shd w:val="clear" w:color="auto" w:fill="auto"/>
          <w:tblCellMar>
            <w:top w:w="0" w:type="dxa"/>
            <w:left w:w="0" w:type="dxa"/>
            <w:bottom w:w="0" w:type="dxa"/>
            <w:right w:w="0" w:type="dxa"/>
          </w:tblCellMar>
        </w:tblPrEx>
        <w:trPr>
          <w:trHeight w:val="23" w:hRule="atLeast"/>
        </w:trPr>
        <w:tc>
          <w:tcPr>
            <w:tcW w:w="3670" w:type="pct"/>
            <w:gridSpan w:val="3"/>
            <w:tcBorders>
              <w:top w:val="single" w:color="000000" w:sz="8"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rPr>
            </w:pPr>
            <w:r>
              <w:rPr>
                <w:rFonts w:hint="default"/>
                <w:b/>
                <w:bCs/>
                <w:sz w:val="21"/>
                <w:szCs w:val="21"/>
                <w:lang w:val="en-US" w:eastAsia="zh-CN"/>
              </w:rPr>
              <w:t>建筑物特征参数</w:t>
            </w:r>
          </w:p>
        </w:tc>
        <w:tc>
          <w:tcPr>
            <w:tcW w:w="1329" w:type="pct"/>
            <w:tcBorders>
              <w:top w:val="single" w:color="000000" w:sz="8"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rPr>
            </w:pPr>
            <w:r>
              <w:rPr>
                <w:rFonts w:hint="default"/>
                <w:b/>
                <w:bCs/>
                <w:sz w:val="21"/>
                <w:szCs w:val="21"/>
                <w:lang w:val="en-US" w:eastAsia="zh-CN"/>
              </w:rPr>
              <w:t>原场</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参数名称</w:t>
            </w:r>
          </w:p>
        </w:tc>
        <w:tc>
          <w:tcPr>
            <w:tcW w:w="83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符号</w:t>
            </w:r>
          </w:p>
        </w:tc>
        <w:tc>
          <w:tcPr>
            <w:tcW w:w="769"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单位</w:t>
            </w:r>
          </w:p>
        </w:tc>
        <w:tc>
          <w:tcPr>
            <w:tcW w:w="1329"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非敏感用地</w:t>
            </w:r>
          </w:p>
        </w:tc>
      </w:tr>
      <w:tr>
        <w:tblPrEx>
          <w:tblCellMar>
            <w:top w:w="0" w:type="dxa"/>
            <w:left w:w="0" w:type="dxa"/>
            <w:bottom w:w="0" w:type="dxa"/>
            <w:right w:w="0" w:type="dxa"/>
          </w:tblCellMar>
        </w:tblPrEx>
        <w:trPr>
          <w:trHeight w:val="23" w:hRule="atLeast"/>
        </w:trPr>
        <w:tc>
          <w:tcPr>
            <w:tcW w:w="2069" w:type="pct"/>
            <w:tcBorders>
              <w:top w:val="nil"/>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地基裂隙中水体积比</w:t>
            </w:r>
          </w:p>
        </w:tc>
        <w:tc>
          <w:tcPr>
            <w:tcW w:w="83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θwcrack</w:t>
            </w:r>
          </w:p>
        </w:tc>
        <w:tc>
          <w:tcPr>
            <w:tcW w:w="769"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1329"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0.12</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地基裂隙中空气体积比</w:t>
            </w:r>
          </w:p>
        </w:tc>
        <w:tc>
          <w:tcPr>
            <w:tcW w:w="8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θacrack</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0.26</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地基和墙体裂隙表面积所占比例</w:t>
            </w:r>
          </w:p>
        </w:tc>
        <w:tc>
          <w:tcPr>
            <w:tcW w:w="8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η</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0.01</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室内空间体积与气态污染物入渗面积之比</w:t>
            </w:r>
          </w:p>
        </w:tc>
        <w:tc>
          <w:tcPr>
            <w:tcW w:w="8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LB</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2</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室内空气交换率</w:t>
            </w:r>
          </w:p>
        </w:tc>
        <w:tc>
          <w:tcPr>
            <w:tcW w:w="8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ER</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1/s</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1.39E-04</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室内室外气压差</w:t>
            </w:r>
          </w:p>
        </w:tc>
        <w:tc>
          <w:tcPr>
            <w:tcW w:w="8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dP</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Pa</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地面到地板底部厚度</w:t>
            </w:r>
          </w:p>
        </w:tc>
        <w:tc>
          <w:tcPr>
            <w:tcW w:w="8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Zcrack</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0.15</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室内地板面积</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Ab</w:t>
            </w:r>
          </w:p>
        </w:tc>
        <w:tc>
          <w:tcPr>
            <w:tcW w:w="7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w:t>
            </w:r>
            <w:r>
              <w:rPr>
                <w:rFonts w:hint="default"/>
                <w:sz w:val="21"/>
                <w:szCs w:val="21"/>
                <w:vertAlign w:val="superscript"/>
                <w:lang w:val="en-US" w:eastAsia="zh-CN"/>
              </w:rPr>
              <w:t>2</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70</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室内地板周长</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Xcrack</w:t>
            </w:r>
          </w:p>
        </w:tc>
        <w:tc>
          <w:tcPr>
            <w:tcW w:w="7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34</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室内地基厚度</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Lcrack</w:t>
            </w:r>
          </w:p>
        </w:tc>
        <w:tc>
          <w:tcPr>
            <w:tcW w:w="7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m</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0.15</w:t>
            </w:r>
          </w:p>
        </w:tc>
      </w:tr>
      <w:tr>
        <w:tblPrEx>
          <w:tblCellMar>
            <w:top w:w="0" w:type="dxa"/>
            <w:left w:w="0" w:type="dxa"/>
            <w:bottom w:w="0" w:type="dxa"/>
            <w:right w:w="0" w:type="dxa"/>
          </w:tblCellMar>
        </w:tblPrEx>
        <w:trPr>
          <w:trHeight w:val="23" w:hRule="atLeast"/>
        </w:trPr>
        <w:tc>
          <w:tcPr>
            <w:tcW w:w="2069" w:type="pct"/>
            <w:tcBorders>
              <w:top w:val="single" w:color="000000" w:sz="4" w:space="0"/>
              <w:left w:val="single" w:color="000000" w:sz="8"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土壤颗粒物载入因子</w:t>
            </w:r>
          </w:p>
        </w:tc>
        <w:tc>
          <w:tcPr>
            <w:tcW w:w="831"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DL</w:t>
            </w:r>
          </w:p>
        </w:tc>
        <w:tc>
          <w:tcPr>
            <w:tcW w:w="769"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g/m</w:t>
            </w:r>
            <w:r>
              <w:rPr>
                <w:rFonts w:hint="default"/>
                <w:sz w:val="21"/>
                <w:szCs w:val="21"/>
                <w:vertAlign w:val="superscript"/>
                <w:lang w:val="en-US" w:eastAsia="zh-CN"/>
              </w:rPr>
              <w:t>3</w:t>
            </w:r>
          </w:p>
        </w:tc>
        <w:tc>
          <w:tcPr>
            <w:tcW w:w="1329"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lang w:val="en-US" w:eastAsia="zh-CN"/>
              </w:rPr>
              <w:t>1.00E-04</w:t>
            </w:r>
          </w:p>
        </w:tc>
      </w:tr>
    </w:tbl>
    <w:p>
      <w:pPr>
        <w:pStyle w:val="2"/>
        <w:pageBreakBefore w:val="0"/>
        <w:kinsoku/>
        <w:wordWrap/>
        <w:overflowPunct/>
        <w:topLinePunct w:val="0"/>
        <w:bidi w:val="0"/>
        <w:spacing w:line="360" w:lineRule="auto"/>
        <w:ind w:firstLine="0" w:firstLineChars="0"/>
        <w:jc w:val="center"/>
        <w:rPr>
          <w:rFonts w:hint="default" w:ascii="Times New Roman" w:hAnsi="Times New Roman" w:cs="Times New Roman"/>
          <w:b/>
          <w:kern w:val="0"/>
          <w:sz w:val="24"/>
        </w:rPr>
      </w:pPr>
      <w:r>
        <w:rPr>
          <w:rFonts w:hint="default" w:ascii="Times New Roman" w:hAnsi="Times New Roman" w:cs="Times New Roman"/>
          <w:b/>
          <w:kern w:val="0"/>
          <w:sz w:val="24"/>
        </w:rPr>
        <w:t>表4-</w:t>
      </w:r>
      <w:r>
        <w:rPr>
          <w:rFonts w:hint="default" w:ascii="Times New Roman" w:hAnsi="Times New Roman" w:cs="Times New Roman"/>
          <w:b/>
          <w:kern w:val="0"/>
          <w:sz w:val="24"/>
          <w:lang w:val="en-US" w:eastAsia="zh-CN"/>
        </w:rPr>
        <w:t>4</w:t>
      </w:r>
      <w:r>
        <w:rPr>
          <w:rFonts w:hint="default" w:ascii="Times New Roman" w:hAnsi="Times New Roman" w:cs="Times New Roman"/>
          <w:b/>
          <w:kern w:val="0"/>
          <w:sz w:val="24"/>
        </w:rPr>
        <w:t xml:space="preserve">  </w:t>
      </w:r>
      <w:r>
        <w:rPr>
          <w:rFonts w:hint="default" w:ascii="Times New Roman" w:hAnsi="Times New Roman" w:cs="Times New Roman"/>
          <w:b/>
          <w:kern w:val="0"/>
          <w:sz w:val="24"/>
          <w:lang w:eastAsia="zh-CN"/>
        </w:rPr>
        <w:t>空气特征</w:t>
      </w:r>
      <w:r>
        <w:rPr>
          <w:rFonts w:hint="default" w:ascii="Times New Roman" w:hAnsi="Times New Roman" w:cs="Times New Roman"/>
          <w:b/>
          <w:kern w:val="0"/>
          <w:sz w:val="24"/>
        </w:rPr>
        <w:t>参数</w:t>
      </w:r>
    </w:p>
    <w:tbl>
      <w:tblPr>
        <w:tblStyle w:val="16"/>
        <w:tblW w:w="5000" w:type="pct"/>
        <w:tblInd w:w="0" w:type="dxa"/>
        <w:shd w:val="clear" w:color="auto" w:fill="auto"/>
        <w:tblLayout w:type="autofit"/>
        <w:tblCellMar>
          <w:top w:w="0" w:type="dxa"/>
          <w:left w:w="0" w:type="dxa"/>
          <w:bottom w:w="0" w:type="dxa"/>
          <w:right w:w="0" w:type="dxa"/>
        </w:tblCellMar>
      </w:tblPr>
      <w:tblGrid>
        <w:gridCol w:w="2610"/>
        <w:gridCol w:w="1239"/>
        <w:gridCol w:w="2131"/>
        <w:gridCol w:w="2356"/>
      </w:tblGrid>
      <w:tr>
        <w:tblPrEx>
          <w:shd w:val="clear" w:color="auto" w:fill="auto"/>
          <w:tblCellMar>
            <w:top w:w="0" w:type="dxa"/>
            <w:left w:w="0" w:type="dxa"/>
            <w:bottom w:w="0" w:type="dxa"/>
            <w:right w:w="0" w:type="dxa"/>
          </w:tblCellMar>
        </w:tblPrEx>
        <w:trPr>
          <w:trHeight w:val="23" w:hRule="atLeast"/>
        </w:trPr>
        <w:tc>
          <w:tcPr>
            <w:tcW w:w="5000" w:type="pct"/>
            <w:gridSpan w:val="4"/>
            <w:tcBorders>
              <w:top w:val="single" w:color="000000" w:sz="8" w:space="0"/>
              <w:left w:val="single" w:color="000000" w:sz="8"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lang w:val="en-US" w:eastAsia="zh-CN"/>
              </w:rPr>
              <w:t>空气特征参数</w:t>
            </w:r>
          </w:p>
        </w:tc>
      </w:tr>
      <w:tr>
        <w:tblPrEx>
          <w:tblCellMar>
            <w:top w:w="0" w:type="dxa"/>
            <w:left w:w="0" w:type="dxa"/>
            <w:bottom w:w="0" w:type="dxa"/>
            <w:right w:w="0" w:type="dxa"/>
          </w:tblCellMar>
        </w:tblPrEx>
        <w:trPr>
          <w:trHeight w:val="23" w:hRule="atLeast"/>
        </w:trPr>
        <w:tc>
          <w:tcPr>
            <w:tcW w:w="1566" w:type="pct"/>
            <w:tcBorders>
              <w:top w:val="single" w:color="000000" w:sz="4" w:space="0"/>
              <w:left w:val="single" w:color="000000" w:sz="8"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参数名称</w:t>
            </w:r>
          </w:p>
        </w:tc>
        <w:tc>
          <w:tcPr>
            <w:tcW w:w="743"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符号</w:t>
            </w:r>
          </w:p>
        </w:tc>
        <w:tc>
          <w:tcPr>
            <w:tcW w:w="1278"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单位</w:t>
            </w:r>
          </w:p>
        </w:tc>
        <w:tc>
          <w:tcPr>
            <w:tcW w:w="1411" w:type="pct"/>
            <w:tcBorders>
              <w:top w:val="single" w:color="000000" w:sz="4" w:space="0"/>
              <w:left w:val="single" w:color="000000" w:sz="4"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取值</w:t>
            </w:r>
          </w:p>
        </w:tc>
      </w:tr>
      <w:tr>
        <w:tblPrEx>
          <w:tblCellMar>
            <w:top w:w="0" w:type="dxa"/>
            <w:left w:w="0" w:type="dxa"/>
            <w:bottom w:w="0" w:type="dxa"/>
            <w:right w:w="0" w:type="dxa"/>
          </w:tblCellMar>
        </w:tblPrEx>
        <w:trPr>
          <w:trHeight w:val="23" w:hRule="atLeast"/>
        </w:trPr>
        <w:tc>
          <w:tcPr>
            <w:tcW w:w="1566" w:type="pct"/>
            <w:tcBorders>
              <w:top w:val="nil"/>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混合区高度</w:t>
            </w:r>
          </w:p>
        </w:tc>
        <w:tc>
          <w:tcPr>
            <w:tcW w:w="74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δair</w:t>
            </w:r>
          </w:p>
        </w:tc>
        <w:tc>
          <w:tcPr>
            <w:tcW w:w="1278"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w:t>
            </w:r>
          </w:p>
        </w:tc>
        <w:tc>
          <w:tcPr>
            <w:tcW w:w="1411" w:type="pct"/>
            <w:tcBorders>
              <w:top w:val="nil"/>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r>
      <w:tr>
        <w:tblPrEx>
          <w:tblCellMar>
            <w:top w:w="0" w:type="dxa"/>
            <w:left w:w="0" w:type="dxa"/>
            <w:bottom w:w="0" w:type="dxa"/>
            <w:right w:w="0" w:type="dxa"/>
          </w:tblCellMar>
        </w:tblPrEx>
        <w:trPr>
          <w:trHeight w:val="23" w:hRule="atLeast"/>
        </w:trPr>
        <w:tc>
          <w:tcPr>
            <w:tcW w:w="1566"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混合区大气流速</w:t>
            </w:r>
          </w:p>
        </w:tc>
        <w:tc>
          <w:tcPr>
            <w:tcW w:w="7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Uair</w:t>
            </w:r>
          </w:p>
        </w:tc>
        <w:tc>
          <w:tcPr>
            <w:tcW w:w="12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m/s</w:t>
            </w:r>
          </w:p>
        </w:tc>
        <w:tc>
          <w:tcPr>
            <w:tcW w:w="1411" w:type="pct"/>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r>
      <w:tr>
        <w:tblPrEx>
          <w:tblCellMar>
            <w:top w:w="0" w:type="dxa"/>
            <w:left w:w="0" w:type="dxa"/>
            <w:bottom w:w="0" w:type="dxa"/>
            <w:right w:w="0" w:type="dxa"/>
          </w:tblCellMar>
        </w:tblPrEx>
        <w:trPr>
          <w:trHeight w:val="23" w:hRule="atLeast"/>
        </w:trPr>
        <w:tc>
          <w:tcPr>
            <w:tcW w:w="1566"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空气扩散因子</w:t>
            </w:r>
          </w:p>
        </w:tc>
        <w:tc>
          <w:tcPr>
            <w:tcW w:w="7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Q/C</w:t>
            </w:r>
          </w:p>
        </w:tc>
        <w:tc>
          <w:tcPr>
            <w:tcW w:w="12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g·m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·s</w:t>
            </w:r>
            <w:r>
              <w:rPr>
                <w:rFonts w:hint="default" w:ascii="Times New Roman" w:hAnsi="Times New Roman" w:eastAsia="宋体" w:cs="Times New Roman"/>
                <w:sz w:val="21"/>
                <w:szCs w:val="21"/>
                <w:vertAlign w:val="superscript"/>
                <w:lang w:val="en-US" w:eastAsia="zh-CN"/>
              </w:rPr>
              <w:t>-1</w:t>
            </w:r>
            <w:r>
              <w:rPr>
                <w:rFonts w:hint="default" w:ascii="Times New Roman" w:hAnsi="Times New Roman" w:eastAsia="宋体" w:cs="Times New Roman"/>
                <w:sz w:val="21"/>
                <w:szCs w:val="21"/>
                <w:lang w:val="en-US" w:eastAsia="zh-CN"/>
              </w:rPr>
              <w:t>/kg·m</w:t>
            </w:r>
            <w:r>
              <w:rPr>
                <w:rFonts w:hint="default" w:ascii="Times New Roman" w:hAnsi="Times New Roman" w:eastAsia="宋体" w:cs="Times New Roman"/>
                <w:sz w:val="21"/>
                <w:szCs w:val="21"/>
                <w:vertAlign w:val="superscript"/>
                <w:lang w:val="en-US" w:eastAsia="zh-CN"/>
              </w:rPr>
              <w:t>-3</w:t>
            </w:r>
          </w:p>
        </w:tc>
        <w:tc>
          <w:tcPr>
            <w:tcW w:w="1411" w:type="pct"/>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79.25</w:t>
            </w:r>
          </w:p>
        </w:tc>
      </w:tr>
      <w:tr>
        <w:tblPrEx>
          <w:tblCellMar>
            <w:top w:w="0" w:type="dxa"/>
            <w:left w:w="0" w:type="dxa"/>
            <w:bottom w:w="0" w:type="dxa"/>
            <w:right w:w="0" w:type="dxa"/>
          </w:tblCellMar>
        </w:tblPrEx>
        <w:trPr>
          <w:trHeight w:val="23" w:hRule="atLeast"/>
        </w:trPr>
        <w:tc>
          <w:tcPr>
            <w:tcW w:w="1566"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空气中可吸入颗粒物含量</w:t>
            </w:r>
          </w:p>
        </w:tc>
        <w:tc>
          <w:tcPr>
            <w:tcW w:w="7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PM10</w:t>
            </w:r>
          </w:p>
        </w:tc>
        <w:tc>
          <w:tcPr>
            <w:tcW w:w="12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p>
        </w:tc>
        <w:tc>
          <w:tcPr>
            <w:tcW w:w="1411" w:type="pct"/>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0.15</w:t>
            </w:r>
          </w:p>
        </w:tc>
      </w:tr>
      <w:tr>
        <w:tblPrEx>
          <w:tblCellMar>
            <w:top w:w="0" w:type="dxa"/>
            <w:left w:w="0" w:type="dxa"/>
            <w:bottom w:w="0" w:type="dxa"/>
            <w:right w:w="0" w:type="dxa"/>
          </w:tblCellMar>
        </w:tblPrEx>
        <w:trPr>
          <w:trHeight w:val="23" w:hRule="atLeast"/>
        </w:trPr>
        <w:tc>
          <w:tcPr>
            <w:tcW w:w="1566"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颗粒物释放通量</w:t>
            </w:r>
          </w:p>
        </w:tc>
        <w:tc>
          <w:tcPr>
            <w:tcW w:w="7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Pe</w:t>
            </w:r>
          </w:p>
        </w:tc>
        <w:tc>
          <w:tcPr>
            <w:tcW w:w="12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g/m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·s</w:t>
            </w:r>
            <w:r>
              <w:rPr>
                <w:rFonts w:hint="default" w:ascii="Times New Roman" w:hAnsi="Times New Roman" w:eastAsia="宋体" w:cs="Times New Roman"/>
                <w:sz w:val="21"/>
                <w:szCs w:val="21"/>
                <w:vertAlign w:val="superscript"/>
                <w:lang w:val="en-US" w:eastAsia="zh-CN"/>
              </w:rPr>
              <w:t>-1</w:t>
            </w:r>
          </w:p>
        </w:tc>
        <w:tc>
          <w:tcPr>
            <w:tcW w:w="1411" w:type="pct"/>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6.90E-10</w:t>
            </w:r>
          </w:p>
        </w:tc>
      </w:tr>
      <w:tr>
        <w:tblPrEx>
          <w:tblCellMar>
            <w:top w:w="0" w:type="dxa"/>
            <w:left w:w="0" w:type="dxa"/>
            <w:bottom w:w="0" w:type="dxa"/>
            <w:right w:w="0" w:type="dxa"/>
          </w:tblCellMar>
        </w:tblPrEx>
        <w:trPr>
          <w:trHeight w:val="23" w:hRule="atLeast"/>
        </w:trPr>
        <w:tc>
          <w:tcPr>
            <w:tcW w:w="1566"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植被覆盖率</w:t>
            </w:r>
          </w:p>
        </w:tc>
        <w:tc>
          <w:tcPr>
            <w:tcW w:w="7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VC</w:t>
            </w:r>
          </w:p>
        </w:tc>
        <w:tc>
          <w:tcPr>
            <w:tcW w:w="12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411" w:type="pct"/>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w:t>
            </w:r>
          </w:p>
        </w:tc>
      </w:tr>
      <w:tr>
        <w:tblPrEx>
          <w:tblCellMar>
            <w:top w:w="0" w:type="dxa"/>
            <w:left w:w="0" w:type="dxa"/>
            <w:bottom w:w="0" w:type="dxa"/>
            <w:right w:w="0" w:type="dxa"/>
          </w:tblCellMar>
        </w:tblPrEx>
        <w:trPr>
          <w:trHeight w:val="23" w:hRule="atLeast"/>
        </w:trPr>
        <w:tc>
          <w:tcPr>
            <w:tcW w:w="1566"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7米高处年平均空气流速</w:t>
            </w:r>
          </w:p>
        </w:tc>
        <w:tc>
          <w:tcPr>
            <w:tcW w:w="7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u</w:t>
            </w:r>
          </w:p>
        </w:tc>
        <w:tc>
          <w:tcPr>
            <w:tcW w:w="12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m/s</w:t>
            </w:r>
          </w:p>
        </w:tc>
        <w:tc>
          <w:tcPr>
            <w:tcW w:w="1411" w:type="pct"/>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w:t>
            </w:r>
          </w:p>
        </w:tc>
      </w:tr>
      <w:tr>
        <w:tblPrEx>
          <w:tblCellMar>
            <w:top w:w="0" w:type="dxa"/>
            <w:left w:w="0" w:type="dxa"/>
            <w:bottom w:w="0" w:type="dxa"/>
            <w:right w:w="0" w:type="dxa"/>
          </w:tblCellMar>
        </w:tblPrEx>
        <w:trPr>
          <w:trHeight w:val="23" w:hRule="atLeast"/>
        </w:trPr>
        <w:tc>
          <w:tcPr>
            <w:tcW w:w="1566"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7米高处年最大空气流速</w:t>
            </w:r>
          </w:p>
        </w:tc>
        <w:tc>
          <w:tcPr>
            <w:tcW w:w="7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ut</w:t>
            </w:r>
          </w:p>
        </w:tc>
        <w:tc>
          <w:tcPr>
            <w:tcW w:w="12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m/s</w:t>
            </w:r>
          </w:p>
        </w:tc>
        <w:tc>
          <w:tcPr>
            <w:tcW w:w="1411" w:type="pct"/>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11.32</w:t>
            </w:r>
          </w:p>
        </w:tc>
      </w:tr>
      <w:tr>
        <w:tblPrEx>
          <w:tblCellMar>
            <w:top w:w="0" w:type="dxa"/>
            <w:left w:w="0" w:type="dxa"/>
            <w:bottom w:w="0" w:type="dxa"/>
            <w:right w:w="0" w:type="dxa"/>
          </w:tblCellMar>
        </w:tblPrEx>
        <w:trPr>
          <w:trHeight w:val="23" w:hRule="atLeast"/>
        </w:trPr>
        <w:tc>
          <w:tcPr>
            <w:tcW w:w="1566"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风速经验公式</w:t>
            </w:r>
          </w:p>
        </w:tc>
        <w:tc>
          <w:tcPr>
            <w:tcW w:w="743"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F(x)</w:t>
            </w:r>
          </w:p>
        </w:tc>
        <w:tc>
          <w:tcPr>
            <w:tcW w:w="1278"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411" w:type="pct"/>
            <w:tcBorders>
              <w:top w:val="single" w:color="000000" w:sz="4" w:space="0"/>
              <w:left w:val="single" w:color="000000" w:sz="4"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0.223841466</w:t>
            </w:r>
          </w:p>
        </w:tc>
      </w:tr>
    </w:tbl>
    <w:p>
      <w:pPr>
        <w:pStyle w:val="2"/>
        <w:pageBreakBefore w:val="0"/>
        <w:kinsoku/>
        <w:wordWrap/>
        <w:overflowPunct/>
        <w:topLinePunct w:val="0"/>
        <w:bidi w:val="0"/>
        <w:spacing w:line="360" w:lineRule="auto"/>
        <w:ind w:firstLine="0" w:firstLineChars="0"/>
        <w:jc w:val="center"/>
        <w:rPr>
          <w:rFonts w:hint="default" w:ascii="Times New Roman" w:hAnsi="Times New Roman" w:cs="Times New Roman"/>
          <w:b/>
          <w:kern w:val="0"/>
          <w:sz w:val="24"/>
        </w:rPr>
      </w:pPr>
      <w:r>
        <w:rPr>
          <w:rFonts w:hint="default" w:ascii="Times New Roman" w:hAnsi="Times New Roman" w:cs="Times New Roman"/>
          <w:b/>
          <w:kern w:val="0"/>
          <w:sz w:val="24"/>
        </w:rPr>
        <w:t>表4-</w:t>
      </w:r>
      <w:r>
        <w:rPr>
          <w:rFonts w:hint="default" w:ascii="Times New Roman" w:hAnsi="Times New Roman" w:cs="Times New Roman"/>
          <w:b/>
          <w:kern w:val="0"/>
          <w:sz w:val="24"/>
          <w:lang w:val="en-US" w:eastAsia="zh-CN"/>
        </w:rPr>
        <w:t>5</w:t>
      </w:r>
      <w:r>
        <w:rPr>
          <w:rFonts w:hint="default" w:ascii="Times New Roman" w:hAnsi="Times New Roman" w:cs="Times New Roman"/>
          <w:b/>
          <w:kern w:val="0"/>
          <w:sz w:val="24"/>
        </w:rPr>
        <w:t xml:space="preserve">  </w:t>
      </w:r>
      <w:r>
        <w:rPr>
          <w:rFonts w:hint="default" w:ascii="Times New Roman" w:hAnsi="Times New Roman" w:cs="Times New Roman"/>
          <w:b/>
          <w:kern w:val="0"/>
          <w:sz w:val="24"/>
          <w:lang w:eastAsia="zh-CN"/>
        </w:rPr>
        <w:t>作物吸收</w:t>
      </w:r>
      <w:r>
        <w:rPr>
          <w:rFonts w:hint="default" w:ascii="Times New Roman" w:hAnsi="Times New Roman" w:cs="Times New Roman"/>
          <w:b/>
          <w:kern w:val="0"/>
          <w:sz w:val="24"/>
        </w:rPr>
        <w:t>参数</w:t>
      </w:r>
    </w:p>
    <w:tbl>
      <w:tblPr>
        <w:tblStyle w:val="16"/>
        <w:tblW w:w="5000" w:type="pct"/>
        <w:tblInd w:w="0" w:type="dxa"/>
        <w:shd w:val="clear" w:color="auto" w:fill="auto"/>
        <w:tblLayout w:type="autofit"/>
        <w:tblCellMar>
          <w:top w:w="0" w:type="dxa"/>
          <w:left w:w="0" w:type="dxa"/>
          <w:bottom w:w="0" w:type="dxa"/>
          <w:right w:w="0" w:type="dxa"/>
        </w:tblCellMar>
      </w:tblPr>
      <w:tblGrid>
        <w:gridCol w:w="2462"/>
        <w:gridCol w:w="1701"/>
        <w:gridCol w:w="2081"/>
        <w:gridCol w:w="2092"/>
      </w:tblGrid>
      <w:tr>
        <w:tblPrEx>
          <w:shd w:val="clear" w:color="auto" w:fill="auto"/>
          <w:tblCellMar>
            <w:top w:w="0" w:type="dxa"/>
            <w:left w:w="0" w:type="dxa"/>
            <w:bottom w:w="0" w:type="dxa"/>
            <w:right w:w="0" w:type="dxa"/>
          </w:tblCellMar>
        </w:tblPrEx>
        <w:trPr>
          <w:trHeight w:val="23" w:hRule="atLeast"/>
        </w:trPr>
        <w:tc>
          <w:tcPr>
            <w:tcW w:w="5000" w:type="pct"/>
            <w:gridSpan w:val="4"/>
            <w:tcBorders>
              <w:top w:val="single" w:color="000000" w:sz="8"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lang w:val="en-US" w:eastAsia="zh-CN"/>
              </w:rPr>
              <w:t>作物吸收参数</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参数名称</w:t>
            </w:r>
          </w:p>
        </w:tc>
        <w:tc>
          <w:tcPr>
            <w:tcW w:w="1020"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符号</w:t>
            </w:r>
          </w:p>
        </w:tc>
        <w:tc>
          <w:tcPr>
            <w:tcW w:w="1248"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单位</w:t>
            </w:r>
          </w:p>
        </w:tc>
        <w:tc>
          <w:tcPr>
            <w:tcW w:w="1253"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取值</w:t>
            </w:r>
          </w:p>
        </w:tc>
      </w:tr>
      <w:tr>
        <w:tblPrEx>
          <w:tblCellMar>
            <w:top w:w="0" w:type="dxa"/>
            <w:left w:w="0" w:type="dxa"/>
            <w:bottom w:w="0" w:type="dxa"/>
            <w:right w:w="0" w:type="dxa"/>
          </w:tblCellMar>
        </w:tblPrEx>
        <w:trPr>
          <w:trHeight w:val="23" w:hRule="atLeast"/>
        </w:trPr>
        <w:tc>
          <w:tcPr>
            <w:tcW w:w="1477" w:type="pct"/>
            <w:tcBorders>
              <w:top w:val="nil"/>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根菜含水量</w:t>
            </w:r>
          </w:p>
        </w:tc>
        <w:tc>
          <w:tcPr>
            <w:tcW w:w="1020"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Wr</w:t>
            </w:r>
          </w:p>
        </w:tc>
        <w:tc>
          <w:tcPr>
            <w:tcW w:w="1248"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g/g</w:t>
            </w:r>
          </w:p>
        </w:tc>
        <w:tc>
          <w:tcPr>
            <w:tcW w:w="1253" w:type="pct"/>
            <w:tcBorders>
              <w:top w:val="nil"/>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0.89</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根部脂肪含量</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L</w:t>
            </w:r>
          </w:p>
        </w:tc>
        <w:tc>
          <w:tcPr>
            <w:tcW w:w="1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g/g</w:t>
            </w:r>
          </w:p>
        </w:tc>
        <w:tc>
          <w:tcPr>
            <w:tcW w:w="125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0.025</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植物根系密度</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ρp</w:t>
            </w:r>
          </w:p>
        </w:tc>
        <w:tc>
          <w:tcPr>
            <w:tcW w:w="1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g/cm</w:t>
            </w:r>
            <w:r>
              <w:rPr>
                <w:rFonts w:hint="default" w:ascii="Times New Roman" w:hAnsi="Times New Roman" w:eastAsia="宋体" w:cs="Times New Roman"/>
                <w:sz w:val="21"/>
                <w:szCs w:val="21"/>
                <w:vertAlign w:val="superscript"/>
                <w:lang w:val="en-US" w:eastAsia="zh-CN"/>
              </w:rPr>
              <w:t>3</w:t>
            </w:r>
          </w:p>
        </w:tc>
        <w:tc>
          <w:tcPr>
            <w:tcW w:w="125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根系体积</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Vroot</w:t>
            </w:r>
          </w:p>
        </w:tc>
        <w:tc>
          <w:tcPr>
            <w:tcW w:w="1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cm</w:t>
            </w:r>
            <w:r>
              <w:rPr>
                <w:rFonts w:hint="default" w:ascii="Times New Roman" w:hAnsi="Times New Roman" w:eastAsia="宋体" w:cs="Times New Roman"/>
                <w:sz w:val="21"/>
                <w:szCs w:val="21"/>
                <w:vertAlign w:val="superscript"/>
                <w:lang w:val="en-US" w:eastAsia="zh-CN"/>
              </w:rPr>
              <w:t>3</w:t>
            </w:r>
          </w:p>
        </w:tc>
        <w:tc>
          <w:tcPr>
            <w:tcW w:w="125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1000</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根部校正系数</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b</w:t>
            </w:r>
          </w:p>
        </w:tc>
        <w:tc>
          <w:tcPr>
            <w:tcW w:w="1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25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0.77</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水-辛醇密度修正因子</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a</w:t>
            </w:r>
          </w:p>
        </w:tc>
        <w:tc>
          <w:tcPr>
            <w:tcW w:w="1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25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1.22</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蒸腾流流速</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Qr</w:t>
            </w:r>
          </w:p>
        </w:tc>
        <w:tc>
          <w:tcPr>
            <w:tcW w:w="1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cm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w:t>
            </w:r>
          </w:p>
        </w:tc>
        <w:tc>
          <w:tcPr>
            <w:tcW w:w="125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1000</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一阶生长速率常数</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kg</w:t>
            </w:r>
          </w:p>
        </w:tc>
        <w:tc>
          <w:tcPr>
            <w:tcW w:w="1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1/d</w:t>
            </w:r>
          </w:p>
        </w:tc>
        <w:tc>
          <w:tcPr>
            <w:tcW w:w="125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一阶代谢速率常数</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km</w:t>
            </w:r>
          </w:p>
        </w:tc>
        <w:tc>
          <w:tcPr>
            <w:tcW w:w="1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1/d</w:t>
            </w:r>
          </w:p>
        </w:tc>
        <w:tc>
          <w:tcPr>
            <w:tcW w:w="125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污染物从根系转移到叶菜可食用部位的比例</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fIntleafy</w:t>
            </w:r>
          </w:p>
        </w:tc>
        <w:tc>
          <w:tcPr>
            <w:tcW w:w="1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253" w:type="pct"/>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w:t>
            </w:r>
          </w:p>
        </w:tc>
      </w:tr>
      <w:tr>
        <w:tblPrEx>
          <w:tblCellMar>
            <w:top w:w="0" w:type="dxa"/>
            <w:left w:w="0" w:type="dxa"/>
            <w:bottom w:w="0" w:type="dxa"/>
            <w:right w:w="0" w:type="dxa"/>
          </w:tblCellMar>
        </w:tblPrEx>
        <w:trPr>
          <w:trHeight w:val="23" w:hRule="atLeast"/>
        </w:trPr>
        <w:tc>
          <w:tcPr>
            <w:tcW w:w="1477"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污染物从根系转移到根菜可食用部位的比例</w:t>
            </w:r>
          </w:p>
        </w:tc>
        <w:tc>
          <w:tcPr>
            <w:tcW w:w="1020"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fIntroot</w:t>
            </w:r>
          </w:p>
        </w:tc>
        <w:tc>
          <w:tcPr>
            <w:tcW w:w="1248"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1253" w:type="pct"/>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w:t>
            </w:r>
          </w:p>
        </w:tc>
      </w:tr>
    </w:tbl>
    <w:p>
      <w:pPr>
        <w:pStyle w:val="2"/>
        <w:ind w:firstLine="0" w:firstLineChars="0"/>
        <w:outlineLvl w:val="1"/>
        <w:rPr>
          <w:rFonts w:hint="default" w:ascii="Times New Roman" w:hAnsi="Times New Roman" w:cs="Times New Roman"/>
          <w:b/>
          <w:sz w:val="30"/>
        </w:rPr>
      </w:pPr>
      <w:bookmarkStart w:id="313" w:name="_Toc516686391"/>
      <w:bookmarkStart w:id="314" w:name="_Toc517257537"/>
      <w:bookmarkStart w:id="315" w:name="_Toc516677130"/>
      <w:bookmarkStart w:id="316" w:name="_Toc516680942"/>
      <w:bookmarkStart w:id="317" w:name="_Toc24368"/>
      <w:bookmarkStart w:id="318" w:name="_Toc22244"/>
      <w:r>
        <w:rPr>
          <w:rFonts w:hint="default" w:ascii="Times New Roman" w:hAnsi="Times New Roman" w:cs="Times New Roman"/>
          <w:b/>
          <w:sz w:val="30"/>
        </w:rPr>
        <w:t>5 污染物性质参数</w:t>
      </w:r>
      <w:bookmarkEnd w:id="313"/>
      <w:bookmarkEnd w:id="314"/>
      <w:bookmarkEnd w:id="315"/>
      <w:bookmarkEnd w:id="316"/>
      <w:bookmarkEnd w:id="317"/>
      <w:bookmarkEnd w:id="318"/>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1"/>
        <w:gridCol w:w="1081"/>
        <w:gridCol w:w="1803"/>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52" w:type="pct"/>
            <w:gridSpan w:val="3"/>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污染物（中文）</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52" w:type="pct"/>
            <w:gridSpan w:val="3"/>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污染物（英文）</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Zinc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CAS编号</w:t>
            </w:r>
          </w:p>
        </w:tc>
        <w:tc>
          <w:tcPr>
            <w:tcW w:w="63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N</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7440-66-6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类型</w:t>
            </w:r>
          </w:p>
        </w:tc>
        <w:tc>
          <w:tcPr>
            <w:tcW w:w="63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T</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无机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分子量</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MW</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g/mol</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6.54E+01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TX12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水中溶解度</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S</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TX12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蒸汽压</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Pv</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mm Hg</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TX12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亨利常数</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H</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TX12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经口摄入致癌斜率因子</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SFo</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1/(mg/kg/d)</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呼吸吸入单位致癌风险</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IUR</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1/(mg/m3)</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经口摄入参考剂量</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RfDo</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mg/kg/d</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3.00E-01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EPA-I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呼吸吸入参考浓度</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RfC</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mg/m</w:t>
            </w:r>
            <w:r>
              <w:rPr>
                <w:rFonts w:hint="default"/>
                <w:sz w:val="21"/>
                <w:szCs w:val="21"/>
                <w:vertAlign w:val="superscript"/>
              </w:rPr>
              <w:t>3</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参考剂量分配比例</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RAF</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2.00E-01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消化道吸收因子</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ABSgi</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1.00E+00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R369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皮肤吸收效率因子</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ABSd</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空气中扩散系数</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Dair</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w:t>
            </w:r>
            <w:r>
              <w:rPr>
                <w:rFonts w:hint="default"/>
                <w:sz w:val="21"/>
                <w:szCs w:val="21"/>
                <w:vertAlign w:val="superscript"/>
              </w:rPr>
              <w:t>2</w:t>
            </w:r>
            <w:r>
              <w:rPr>
                <w:rFonts w:hint="default"/>
                <w:sz w:val="21"/>
                <w:szCs w:val="21"/>
              </w:rPr>
              <w:t>/s</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TX12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水中扩散系数</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Dwat</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w:t>
            </w:r>
            <w:r>
              <w:rPr>
                <w:rFonts w:hint="default"/>
                <w:sz w:val="21"/>
                <w:szCs w:val="21"/>
                <w:vertAlign w:val="superscript"/>
              </w:rPr>
              <w:t>2</w:t>
            </w:r>
            <w:r>
              <w:rPr>
                <w:rFonts w:hint="default"/>
                <w:sz w:val="21"/>
                <w:szCs w:val="21"/>
              </w:rPr>
              <w:t>/s</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TX12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水体最大浓度限值</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MCL</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mg/L</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1.00E+00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GB5749-2006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土壤有机碳-水分配系数</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Koc</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cm</w:t>
            </w:r>
            <w:r>
              <w:rPr>
                <w:rFonts w:hint="default"/>
                <w:sz w:val="21"/>
                <w:szCs w:val="21"/>
                <w:vertAlign w:val="superscript"/>
              </w:rPr>
              <w:t>3</w:t>
            </w:r>
            <w:r>
              <w:rPr>
                <w:rFonts w:hint="default"/>
                <w:sz w:val="21"/>
                <w:szCs w:val="21"/>
              </w:rPr>
              <w:t>/g</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土壤-水分配系数</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Kd</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cm</w:t>
            </w:r>
            <w:r>
              <w:rPr>
                <w:rFonts w:hint="default"/>
                <w:sz w:val="21"/>
                <w:szCs w:val="21"/>
                <w:vertAlign w:val="superscript"/>
              </w:rPr>
              <w:t>3</w:t>
            </w:r>
            <w:r>
              <w:rPr>
                <w:rFonts w:hint="default"/>
                <w:sz w:val="21"/>
                <w:szCs w:val="21"/>
              </w:rPr>
              <w:t>/g</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1.60E+01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TX12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辛醇-水分配系数</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Kow</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3.38E-01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TX12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传输因子</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TF</w:t>
            </w: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g/g</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5.00E-01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CLEA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EPA 毒性分级</w:t>
            </w:r>
          </w:p>
        </w:tc>
        <w:tc>
          <w:tcPr>
            <w:tcW w:w="63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63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p>
        </w:tc>
        <w:tc>
          <w:tcPr>
            <w:tcW w:w="10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sz w:val="21"/>
                <w:szCs w:val="21"/>
              </w:rPr>
              <w:t>参考文献</w:t>
            </w:r>
          </w:p>
        </w:tc>
        <w:tc>
          <w:tcPr>
            <w:tcW w:w="1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sz w:val="21"/>
                <w:szCs w:val="21"/>
              </w:rPr>
              <w:t>EPA-I</w:t>
            </w:r>
          </w:p>
        </w:tc>
      </w:tr>
    </w:tbl>
    <w:p>
      <w:pPr>
        <w:spacing w:before="180" w:after="180" w:line="360" w:lineRule="auto"/>
        <w:ind w:firstLine="0" w:firstLineChars="0"/>
        <w:outlineLvl w:val="1"/>
        <w:rPr>
          <w:rFonts w:hint="default" w:ascii="Times New Roman" w:hAnsi="Times New Roman" w:cs="Times New Roman"/>
          <w:b/>
          <w:sz w:val="30"/>
        </w:rPr>
      </w:pPr>
      <w:bookmarkStart w:id="319" w:name="_Toc28010"/>
      <w:bookmarkStart w:id="320" w:name="_Toc516677131"/>
      <w:bookmarkStart w:id="321" w:name="_Toc517257538"/>
      <w:bookmarkStart w:id="322" w:name="_Toc516686392"/>
      <w:bookmarkStart w:id="323" w:name="_Toc516680943"/>
      <w:bookmarkStart w:id="324" w:name="_Toc17101"/>
      <w:r>
        <w:rPr>
          <w:rFonts w:hint="default" w:ascii="Times New Roman" w:hAnsi="Times New Roman" w:cs="Times New Roman"/>
          <w:b/>
          <w:sz w:val="30"/>
        </w:rPr>
        <w:t>6 项目输出</w:t>
      </w:r>
      <w:bookmarkEnd w:id="319"/>
      <w:bookmarkEnd w:id="320"/>
      <w:bookmarkEnd w:id="321"/>
      <w:bookmarkEnd w:id="322"/>
      <w:bookmarkEnd w:id="323"/>
      <w:bookmarkEnd w:id="324"/>
    </w:p>
    <w:p>
      <w:pPr>
        <w:pageBreakBefore w:val="0"/>
        <w:kinsoku/>
        <w:wordWrap/>
        <w:overflowPunct/>
        <w:topLinePunct w:val="0"/>
        <w:bidi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本项目的风险评估采用我国污染场地健康与环境风险评估软件HERA软件，HERA软件是基于美国ASTM RBCA E2081、英国CLEA导则和中国《污染场地风险评估技术导则》（HJ25.3-2014）编制的土壤与地下水风险评估软件。图6-1给出了HERA模型的主界面。</w:t>
      </w:r>
    </w:p>
    <w:p>
      <w:pPr>
        <w:pageBreakBefore w:val="0"/>
        <w:kinsoku/>
        <w:wordWrap/>
        <w:overflowPunct/>
        <w:topLinePunct w:val="0"/>
        <w:bidi w:val="0"/>
        <w:spacing w:line="360" w:lineRule="auto"/>
        <w:jc w:val="center"/>
        <w:rPr>
          <w:rFonts w:hint="eastAsia" w:ascii="Times New Roman" w:hAnsi="Times New Roman" w:cs="Times New Roman" w:eastAsiaTheme="majorEastAsia"/>
          <w:lang w:eastAsia="zh-CN"/>
        </w:rPr>
      </w:pPr>
      <w:r>
        <w:rPr>
          <w:rFonts w:hint="eastAsia" w:ascii="Times New Roman" w:hAnsi="Times New Roman" w:cs="Times New Roman" w:eastAsiaTheme="majorEastAsia"/>
          <w:lang w:eastAsia="zh-CN"/>
        </w:rPr>
        <w:drawing>
          <wp:inline distT="0" distB="0" distL="114300" distR="114300">
            <wp:extent cx="5271770" cy="2788285"/>
            <wp:effectExtent l="0" t="0" r="5080" b="12065"/>
            <wp:docPr id="29" name="图片 29" descr="1576552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76552818(1)"/>
                    <pic:cNvPicPr>
                      <a:picLocks noChangeAspect="1"/>
                    </pic:cNvPicPr>
                  </pic:nvPicPr>
                  <pic:blipFill>
                    <a:blip r:embed="rId73"/>
                    <a:stretch>
                      <a:fillRect/>
                    </a:stretch>
                  </pic:blipFill>
                  <pic:spPr>
                    <a:xfrm>
                      <a:off x="0" y="0"/>
                      <a:ext cx="5271770" cy="2788285"/>
                    </a:xfrm>
                    <a:prstGeom prst="rect">
                      <a:avLst/>
                    </a:prstGeom>
                  </pic:spPr>
                </pic:pic>
              </a:graphicData>
            </a:graphic>
          </wp:inline>
        </w:drawing>
      </w:r>
    </w:p>
    <w:p>
      <w:pPr>
        <w:pageBreakBefore w:val="0"/>
        <w:kinsoku/>
        <w:wordWrap/>
        <w:overflowPunct/>
        <w:topLinePunct w:val="0"/>
        <w:bidi w:val="0"/>
        <w:spacing w:line="360" w:lineRule="auto"/>
        <w:jc w:val="center"/>
        <w:rPr>
          <w:rFonts w:hint="default" w:ascii="Times New Roman" w:hAnsi="Times New Roman" w:cs="Times New Roman"/>
          <w:b/>
          <w:kern w:val="0"/>
          <w:sz w:val="24"/>
        </w:rPr>
      </w:pPr>
      <w:r>
        <w:rPr>
          <w:rFonts w:hint="default" w:ascii="Times New Roman" w:hAnsi="Times New Roman" w:cs="Times New Roman"/>
          <w:b/>
          <w:kern w:val="0"/>
          <w:sz w:val="24"/>
        </w:rPr>
        <w:t>图6-1  HERA风险评价模型主界面</w:t>
      </w:r>
    </w:p>
    <w:p>
      <w:pPr>
        <w:pageBreakBefore w:val="0"/>
        <w:kinsoku/>
        <w:wordWrap/>
        <w:overflowPunct/>
        <w:topLinePunct w:val="0"/>
        <w:bidi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经计算，本场地特征因子</w:t>
      </w:r>
      <w:r>
        <w:rPr>
          <w:rFonts w:hint="default" w:ascii="Times New Roman" w:hAnsi="Times New Roman" w:cs="Times New Roman"/>
          <w:kern w:val="0"/>
          <w:sz w:val="24"/>
          <w:lang w:eastAsia="zh-CN"/>
        </w:rPr>
        <w:t>锌</w:t>
      </w:r>
      <w:r>
        <w:rPr>
          <w:rFonts w:hint="default" w:ascii="Times New Roman" w:hAnsi="Times New Roman" w:cs="Times New Roman"/>
          <w:kern w:val="0"/>
          <w:sz w:val="24"/>
        </w:rPr>
        <w:t>的土壤污染筛选值如下：</w:t>
      </w:r>
    </w:p>
    <w:p>
      <w:pPr>
        <w:spacing w:line="360" w:lineRule="auto"/>
        <w:ind w:firstLine="482" w:firstLineChars="200"/>
        <w:jc w:val="center"/>
        <w:rPr>
          <w:rFonts w:hint="default" w:ascii="Times New Roman" w:hAnsi="Times New Roman" w:cs="Times New Roman"/>
          <w:b/>
          <w:kern w:val="0"/>
          <w:sz w:val="24"/>
        </w:rPr>
      </w:pPr>
    </w:p>
    <w:p>
      <w:pPr>
        <w:spacing w:line="360" w:lineRule="auto"/>
        <w:ind w:firstLine="482" w:firstLineChars="200"/>
        <w:jc w:val="center"/>
        <w:rPr>
          <w:rFonts w:hint="default" w:ascii="Times New Roman" w:hAnsi="Times New Roman" w:cs="Times New Roman"/>
          <w:b/>
          <w:kern w:val="0"/>
          <w:sz w:val="24"/>
        </w:rPr>
      </w:pPr>
    </w:p>
    <w:p>
      <w:pPr>
        <w:spacing w:line="360" w:lineRule="auto"/>
        <w:ind w:firstLine="482" w:firstLineChars="200"/>
        <w:jc w:val="center"/>
        <w:rPr>
          <w:rFonts w:hint="default" w:ascii="Times New Roman" w:hAnsi="Times New Roman" w:cs="Times New Roman"/>
          <w:b/>
          <w:kern w:val="0"/>
          <w:sz w:val="24"/>
        </w:rPr>
      </w:pPr>
      <w:r>
        <w:rPr>
          <w:rFonts w:hint="default" w:ascii="Times New Roman" w:hAnsi="Times New Roman" w:cs="Times New Roman"/>
          <w:b/>
          <w:kern w:val="0"/>
          <w:sz w:val="24"/>
        </w:rPr>
        <w:t>表6-1  本场地特征因子</w:t>
      </w:r>
      <w:r>
        <w:rPr>
          <w:rFonts w:hint="default" w:ascii="Times New Roman" w:hAnsi="Times New Roman" w:cs="Times New Roman"/>
          <w:b/>
          <w:kern w:val="0"/>
          <w:sz w:val="24"/>
          <w:lang w:eastAsia="zh-CN"/>
        </w:rPr>
        <w:t>锌</w:t>
      </w:r>
      <w:r>
        <w:rPr>
          <w:rFonts w:hint="default" w:ascii="Times New Roman" w:hAnsi="Times New Roman" w:cs="Times New Roman"/>
          <w:b/>
          <w:kern w:val="0"/>
          <w:sz w:val="24"/>
        </w:rPr>
        <w:t>的土壤污染筛选值</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4"/>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noWrap w:val="0"/>
            <w:vAlign w:val="center"/>
          </w:tcPr>
          <w:p>
            <w:pPr>
              <w:pageBreakBefore w:val="0"/>
              <w:kinsoku/>
              <w:wordWrap/>
              <w:overflowPunct/>
              <w:topLinePunct w:val="0"/>
              <w:bidi w:val="0"/>
              <w:spacing w:line="36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因子</w:t>
            </w:r>
          </w:p>
        </w:tc>
        <w:tc>
          <w:tcPr>
            <w:tcW w:w="4264" w:type="dxa"/>
            <w:noWrap w:val="0"/>
            <w:vAlign w:val="center"/>
          </w:tcPr>
          <w:p>
            <w:pPr>
              <w:pageBreakBefore w:val="0"/>
              <w:kinsoku/>
              <w:wordWrap/>
              <w:overflowPunct/>
              <w:topLinePunct w:val="0"/>
              <w:bidi w:val="0"/>
              <w:spacing w:line="36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筛选值（mg/kg）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noWrap w:val="0"/>
            <w:vAlign w:val="center"/>
          </w:tcPr>
          <w:p>
            <w:pPr>
              <w:pageBreakBefore w:val="0"/>
              <w:kinsoku/>
              <w:wordWrap/>
              <w:overflowPunct/>
              <w:topLinePunct w:val="0"/>
              <w:bidi w:val="0"/>
              <w:spacing w:line="360" w:lineRule="auto"/>
              <w:jc w:val="center"/>
              <w:rPr>
                <w:rFonts w:hint="default" w:ascii="Times New Roman" w:hAnsi="Times New Roman" w:cs="Times New Roman" w:eastAsiaTheme="majorEastAsia"/>
                <w:kern w:val="0"/>
                <w:sz w:val="21"/>
                <w:szCs w:val="21"/>
                <w:lang w:eastAsia="zh-CN"/>
              </w:rPr>
            </w:pPr>
            <w:r>
              <w:rPr>
                <w:rFonts w:hint="default" w:ascii="Times New Roman" w:hAnsi="Times New Roman" w:cs="Times New Roman"/>
                <w:kern w:val="0"/>
                <w:sz w:val="21"/>
                <w:szCs w:val="21"/>
                <w:lang w:eastAsia="zh-CN"/>
              </w:rPr>
              <w:t>锌</w:t>
            </w:r>
          </w:p>
        </w:tc>
        <w:tc>
          <w:tcPr>
            <w:tcW w:w="4264" w:type="dxa"/>
            <w:noWrap w:val="0"/>
            <w:vAlign w:val="center"/>
          </w:tcPr>
          <w:p>
            <w:pPr>
              <w:pageBreakBefore w:val="0"/>
              <w:kinsoku/>
              <w:wordWrap/>
              <w:overflowPunct/>
              <w:topLinePunct w:val="0"/>
              <w:bidi w:val="0"/>
              <w:spacing w:line="360" w:lineRule="auto"/>
              <w:jc w:val="center"/>
              <w:rPr>
                <w:rFonts w:hint="default" w:ascii="Times New Roman" w:hAnsi="Times New Roman" w:cs="Times New Roman" w:eastAsiaTheme="majorEastAsia"/>
                <w:kern w:val="0"/>
                <w:sz w:val="21"/>
                <w:szCs w:val="21"/>
                <w:lang w:val="en-US" w:eastAsia="zh-CN"/>
              </w:rPr>
            </w:pPr>
            <w:r>
              <w:rPr>
                <w:rFonts w:hint="default" w:ascii="Times New Roman" w:hAnsi="Times New Roman" w:cs="Times New Roman"/>
                <w:kern w:val="0"/>
                <w:sz w:val="21"/>
                <w:szCs w:val="21"/>
                <w:lang w:val="en-US" w:eastAsia="zh-CN"/>
              </w:rPr>
              <w:t>9070</w:t>
            </w:r>
          </w:p>
        </w:tc>
      </w:tr>
    </w:tbl>
    <w:p>
      <w:pPr>
        <w:pStyle w:val="2"/>
        <w:ind w:firstLine="0" w:firstLineChars="0"/>
        <w:rPr>
          <w:rFonts w:hint="default" w:ascii="Times New Roman" w:hAnsi="Times New Roman" w:cs="Times New Roman"/>
          <w:b/>
          <w:sz w:val="30"/>
          <w:lang w:val="en-US" w:eastAsia="zh-CN"/>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aj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Uzd4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w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rUzd4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aj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aj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oU0I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e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FoU0I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aj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68</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0F34A4"/>
    <w:multiLevelType w:val="singleLevel"/>
    <w:tmpl w:val="840F34A4"/>
    <w:lvl w:ilvl="0" w:tentative="0">
      <w:start w:val="1"/>
      <w:numFmt w:val="lowerLetter"/>
      <w:lvlText w:val="%1."/>
      <w:lvlJc w:val="left"/>
      <w:pPr>
        <w:tabs>
          <w:tab w:val="left" w:pos="312"/>
        </w:tabs>
      </w:pPr>
    </w:lvl>
  </w:abstractNum>
  <w:abstractNum w:abstractNumId="1">
    <w:nsid w:val="ABDFB099"/>
    <w:multiLevelType w:val="singleLevel"/>
    <w:tmpl w:val="ABDFB099"/>
    <w:lvl w:ilvl="0" w:tentative="0">
      <w:start w:val="2"/>
      <w:numFmt w:val="decimal"/>
      <w:suff w:val="nothing"/>
      <w:lvlText w:val="（%1）"/>
      <w:lvlJc w:val="left"/>
    </w:lvl>
  </w:abstractNum>
  <w:abstractNum w:abstractNumId="2">
    <w:nsid w:val="BF907C5C"/>
    <w:multiLevelType w:val="singleLevel"/>
    <w:tmpl w:val="BF907C5C"/>
    <w:lvl w:ilvl="0" w:tentative="0">
      <w:start w:val="1"/>
      <w:numFmt w:val="lowerLetter"/>
      <w:lvlText w:val="%1."/>
      <w:lvlJc w:val="left"/>
      <w:pPr>
        <w:tabs>
          <w:tab w:val="left" w:pos="312"/>
        </w:tabs>
      </w:pPr>
    </w:lvl>
  </w:abstractNum>
  <w:abstractNum w:abstractNumId="3">
    <w:nsid w:val="E4E9DF96"/>
    <w:multiLevelType w:val="singleLevel"/>
    <w:tmpl w:val="E4E9DF96"/>
    <w:lvl w:ilvl="0" w:tentative="0">
      <w:start w:val="3"/>
      <w:numFmt w:val="decimal"/>
      <w:suff w:val="nothing"/>
      <w:lvlText w:val="（%1）"/>
      <w:lvlJc w:val="left"/>
    </w:lvl>
  </w:abstractNum>
  <w:abstractNum w:abstractNumId="4">
    <w:nsid w:val="628CB7EC"/>
    <w:multiLevelType w:val="singleLevel"/>
    <w:tmpl w:val="628CB7EC"/>
    <w:lvl w:ilvl="0" w:tentative="0">
      <w:start w:val="1"/>
      <w:numFmt w:val="decimal"/>
      <w:suff w:val="nothing"/>
      <w:lvlText w:val="（%1）"/>
      <w:lvlJc w:val="left"/>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B05C1"/>
    <w:rsid w:val="004306FF"/>
    <w:rsid w:val="00FF6417"/>
    <w:rsid w:val="01084EF5"/>
    <w:rsid w:val="01F667BC"/>
    <w:rsid w:val="02324B6F"/>
    <w:rsid w:val="03565614"/>
    <w:rsid w:val="03710FE8"/>
    <w:rsid w:val="03FC7C5C"/>
    <w:rsid w:val="05390061"/>
    <w:rsid w:val="053946D3"/>
    <w:rsid w:val="060B2B71"/>
    <w:rsid w:val="06174D3F"/>
    <w:rsid w:val="067172D7"/>
    <w:rsid w:val="06A17085"/>
    <w:rsid w:val="07CC4E21"/>
    <w:rsid w:val="081D21E6"/>
    <w:rsid w:val="08955AB7"/>
    <w:rsid w:val="09C93B80"/>
    <w:rsid w:val="0B0B3161"/>
    <w:rsid w:val="0BC759AD"/>
    <w:rsid w:val="0C982048"/>
    <w:rsid w:val="0CF84569"/>
    <w:rsid w:val="0D472AA3"/>
    <w:rsid w:val="0D80077B"/>
    <w:rsid w:val="1085089B"/>
    <w:rsid w:val="11AB45E9"/>
    <w:rsid w:val="13C56B28"/>
    <w:rsid w:val="13E92B79"/>
    <w:rsid w:val="14241645"/>
    <w:rsid w:val="14D1111C"/>
    <w:rsid w:val="15814B8D"/>
    <w:rsid w:val="17A327A2"/>
    <w:rsid w:val="180646C0"/>
    <w:rsid w:val="18431974"/>
    <w:rsid w:val="18A97009"/>
    <w:rsid w:val="19C023AB"/>
    <w:rsid w:val="19D32E50"/>
    <w:rsid w:val="19EC0AD6"/>
    <w:rsid w:val="1AB544EA"/>
    <w:rsid w:val="1AEB0211"/>
    <w:rsid w:val="1B196BE0"/>
    <w:rsid w:val="1BB84D49"/>
    <w:rsid w:val="1DF5463D"/>
    <w:rsid w:val="1FA758B7"/>
    <w:rsid w:val="1FC45056"/>
    <w:rsid w:val="1FD41164"/>
    <w:rsid w:val="1FDC70C3"/>
    <w:rsid w:val="207C0980"/>
    <w:rsid w:val="208D329C"/>
    <w:rsid w:val="20C01D3B"/>
    <w:rsid w:val="217C7701"/>
    <w:rsid w:val="219B07B5"/>
    <w:rsid w:val="25321D6D"/>
    <w:rsid w:val="2544000D"/>
    <w:rsid w:val="25AC0E12"/>
    <w:rsid w:val="25BE3311"/>
    <w:rsid w:val="27397F50"/>
    <w:rsid w:val="28FF448B"/>
    <w:rsid w:val="2A5511D5"/>
    <w:rsid w:val="2B9E78A1"/>
    <w:rsid w:val="2BDC3AEA"/>
    <w:rsid w:val="2C1A76DF"/>
    <w:rsid w:val="2CDD129D"/>
    <w:rsid w:val="2D150BAE"/>
    <w:rsid w:val="2D5B22E3"/>
    <w:rsid w:val="2D703D4C"/>
    <w:rsid w:val="2EC33092"/>
    <w:rsid w:val="306A334E"/>
    <w:rsid w:val="30D41367"/>
    <w:rsid w:val="30D5261F"/>
    <w:rsid w:val="31E644AC"/>
    <w:rsid w:val="33165A70"/>
    <w:rsid w:val="33565FF1"/>
    <w:rsid w:val="336A1A0E"/>
    <w:rsid w:val="337B068F"/>
    <w:rsid w:val="34A00BEC"/>
    <w:rsid w:val="352F5B2C"/>
    <w:rsid w:val="37460455"/>
    <w:rsid w:val="37551090"/>
    <w:rsid w:val="37AC722E"/>
    <w:rsid w:val="38B1660E"/>
    <w:rsid w:val="39FE1DC8"/>
    <w:rsid w:val="3B865660"/>
    <w:rsid w:val="3BB43E7C"/>
    <w:rsid w:val="3D340B74"/>
    <w:rsid w:val="3DD367EE"/>
    <w:rsid w:val="3E495AF9"/>
    <w:rsid w:val="3FBC703E"/>
    <w:rsid w:val="404B0171"/>
    <w:rsid w:val="40D03CCB"/>
    <w:rsid w:val="41BF7FEF"/>
    <w:rsid w:val="41C417FA"/>
    <w:rsid w:val="42DC6477"/>
    <w:rsid w:val="42E43F09"/>
    <w:rsid w:val="448F1739"/>
    <w:rsid w:val="45403616"/>
    <w:rsid w:val="45702155"/>
    <w:rsid w:val="46320BBE"/>
    <w:rsid w:val="47086A7C"/>
    <w:rsid w:val="476D657B"/>
    <w:rsid w:val="478D252D"/>
    <w:rsid w:val="47E42D85"/>
    <w:rsid w:val="48701AB5"/>
    <w:rsid w:val="4900406B"/>
    <w:rsid w:val="4A16728F"/>
    <w:rsid w:val="4CB644AD"/>
    <w:rsid w:val="4CC711E8"/>
    <w:rsid w:val="4D2D6D35"/>
    <w:rsid w:val="4D684F15"/>
    <w:rsid w:val="4E235706"/>
    <w:rsid w:val="4F73310E"/>
    <w:rsid w:val="50FF79F5"/>
    <w:rsid w:val="52017449"/>
    <w:rsid w:val="5214092D"/>
    <w:rsid w:val="52884464"/>
    <w:rsid w:val="529C1C16"/>
    <w:rsid w:val="53151E1E"/>
    <w:rsid w:val="53EF5220"/>
    <w:rsid w:val="55EC1D3C"/>
    <w:rsid w:val="55F47F03"/>
    <w:rsid w:val="59875E40"/>
    <w:rsid w:val="598E3194"/>
    <w:rsid w:val="59E87E0E"/>
    <w:rsid w:val="5BA23C8E"/>
    <w:rsid w:val="5BC626AF"/>
    <w:rsid w:val="5BF44411"/>
    <w:rsid w:val="5DD42B28"/>
    <w:rsid w:val="6016705A"/>
    <w:rsid w:val="614728D1"/>
    <w:rsid w:val="622F3969"/>
    <w:rsid w:val="62793991"/>
    <w:rsid w:val="63930840"/>
    <w:rsid w:val="63BB3E44"/>
    <w:rsid w:val="63EC6AA9"/>
    <w:rsid w:val="65425958"/>
    <w:rsid w:val="65C34306"/>
    <w:rsid w:val="678C3BD3"/>
    <w:rsid w:val="68301C77"/>
    <w:rsid w:val="688B021F"/>
    <w:rsid w:val="690A2F3A"/>
    <w:rsid w:val="6A9A379A"/>
    <w:rsid w:val="6C45779D"/>
    <w:rsid w:val="6FCA5677"/>
    <w:rsid w:val="7069788B"/>
    <w:rsid w:val="70745C88"/>
    <w:rsid w:val="710175F7"/>
    <w:rsid w:val="71BC3D39"/>
    <w:rsid w:val="72684BCD"/>
    <w:rsid w:val="737136D7"/>
    <w:rsid w:val="749C17DA"/>
    <w:rsid w:val="74A72292"/>
    <w:rsid w:val="74C601C4"/>
    <w:rsid w:val="751C6D69"/>
    <w:rsid w:val="78434888"/>
    <w:rsid w:val="789E4BA8"/>
    <w:rsid w:val="78FD148C"/>
    <w:rsid w:val="79AE7F68"/>
    <w:rsid w:val="79E937B5"/>
    <w:rsid w:val="7AF72D28"/>
    <w:rsid w:val="7AF80562"/>
    <w:rsid w:val="7C1518FB"/>
    <w:rsid w:val="7CD939B2"/>
    <w:rsid w:val="7EAD0396"/>
    <w:rsid w:val="7EDC09C4"/>
    <w:rsid w:val="7F7F3BFD"/>
    <w:rsid w:val="7F993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1044" w:firstLineChars="200"/>
      <w:jc w:val="both"/>
    </w:pPr>
    <w:rPr>
      <w:rFonts w:ascii="Times New Roman" w:hAnsi="Times New Roman" w:cs="Times New Roman" w:eastAsiaTheme="majorEastAsia"/>
      <w:sz w:val="24"/>
      <w:szCs w:val="24"/>
      <w:lang w:val="en-US" w:eastAsia="zh-CN" w:bidi="ar-SA"/>
    </w:rPr>
  </w:style>
  <w:style w:type="paragraph" w:styleId="4">
    <w:name w:val="heading 1"/>
    <w:basedOn w:val="1"/>
    <w:next w:val="1"/>
    <w:link w:val="21"/>
    <w:qFormat/>
    <w:uiPriority w:val="0"/>
    <w:pPr>
      <w:keepNext/>
      <w:keepLines/>
      <w:spacing w:before="180" w:after="180" w:line="480" w:lineRule="exact"/>
      <w:ind w:firstLine="0" w:firstLineChars="0"/>
      <w:outlineLvl w:val="0"/>
    </w:pPr>
    <w:rPr>
      <w:rFonts w:ascii="Times New Roman" w:hAnsi="Times New Roman"/>
      <w:b/>
      <w:bCs/>
      <w:kern w:val="44"/>
      <w:sz w:val="32"/>
      <w:szCs w:val="44"/>
    </w:rPr>
  </w:style>
  <w:style w:type="paragraph" w:styleId="5">
    <w:name w:val="heading 2"/>
    <w:basedOn w:val="1"/>
    <w:next w:val="1"/>
    <w:link w:val="22"/>
    <w:unhideWhenUsed/>
    <w:qFormat/>
    <w:uiPriority w:val="0"/>
    <w:pPr>
      <w:keepNext/>
      <w:keepLines/>
      <w:spacing w:before="120" w:after="120" w:line="480" w:lineRule="exact"/>
      <w:ind w:firstLine="0" w:firstLineChars="0"/>
      <w:outlineLvl w:val="1"/>
    </w:pPr>
    <w:rPr>
      <w:rFonts w:ascii="Times New Roman" w:hAnsi="Times New Roman"/>
      <w:b/>
      <w:bCs/>
      <w:sz w:val="30"/>
      <w:szCs w:val="32"/>
    </w:rPr>
  </w:style>
  <w:style w:type="paragraph" w:styleId="6">
    <w:name w:val="heading 3"/>
    <w:basedOn w:val="1"/>
    <w:next w:val="1"/>
    <w:unhideWhenUsed/>
    <w:qFormat/>
    <w:uiPriority w:val="0"/>
    <w:pPr>
      <w:keepNext/>
      <w:keepLines/>
      <w:spacing w:before="60" w:after="60" w:line="480" w:lineRule="exact"/>
      <w:ind w:left="0" w:leftChars="0" w:right="0" w:rightChars="0" w:firstLine="0" w:firstLineChars="0"/>
      <w:outlineLvl w:val="2"/>
    </w:pPr>
    <w:rPr>
      <w:rFonts w:ascii="Times New Roman" w:hAnsi="Times New Roman"/>
      <w:b/>
      <w:bCs/>
      <w:szCs w:val="32"/>
    </w:rPr>
  </w:style>
  <w:style w:type="paragraph" w:styleId="3">
    <w:name w:val="heading 4"/>
    <w:basedOn w:val="1"/>
    <w:next w:val="1"/>
    <w:unhideWhenUsed/>
    <w:qFormat/>
    <w:uiPriority w:val="0"/>
    <w:pPr>
      <w:keepNext/>
      <w:keepLines/>
      <w:spacing w:beforeLines="0" w:beforeAutospacing="0" w:afterLines="0" w:afterAutospacing="0" w:line="480" w:lineRule="exact"/>
      <w:ind w:firstLine="0" w:firstLineChars="0"/>
      <w:outlineLvl w:val="3"/>
    </w:pPr>
    <w:rPr>
      <w:rFonts w:ascii="Arial" w:hAnsi="Arial" w:eastAsia="黑体"/>
      <w:b/>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next w:val="3"/>
    <w:unhideWhenUsed/>
    <w:qFormat/>
    <w:uiPriority w:val="99"/>
    <w:pPr>
      <w:ind w:firstLine="420"/>
    </w:pPr>
  </w:style>
  <w:style w:type="paragraph" w:styleId="7">
    <w:name w:val="Body Text Indent"/>
    <w:basedOn w:val="1"/>
    <w:qFormat/>
    <w:uiPriority w:val="0"/>
    <w:pPr>
      <w:spacing w:after="120"/>
      <w:ind w:left="420" w:leftChars="200"/>
    </w:pPr>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szCs w:val="20"/>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2"/>
    <w:basedOn w:val="7"/>
    <w:qFormat/>
    <w:uiPriority w:val="0"/>
    <w:pPr>
      <w:adjustRightInd w:val="0"/>
      <w:snapToGrid w:val="0"/>
      <w:spacing w:line="360" w:lineRule="auto"/>
      <w:ind w:left="0" w:leftChars="0"/>
    </w:pPr>
    <w:rPr>
      <w:rFonts w:ascii="Times New Roman" w:hAnsi="Times New Roman" w:eastAsia="宋体" w:cs="宋体"/>
      <w:color w:val="000000"/>
      <w:kern w:val="0"/>
      <w:szCs w:val="28"/>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basedOn w:val="18"/>
    <w:qFormat/>
    <w:uiPriority w:val="0"/>
    <w:rPr>
      <w:color w:val="0000FF"/>
      <w:u w:val="single"/>
    </w:rPr>
  </w:style>
  <w:style w:type="character" w:customStyle="1" w:styleId="21">
    <w:name w:val="标题 1 Char"/>
    <w:link w:val="4"/>
    <w:qFormat/>
    <w:uiPriority w:val="0"/>
    <w:rPr>
      <w:rFonts w:ascii="Times New Roman" w:hAnsi="Times New Roman" w:eastAsiaTheme="majorEastAsia"/>
      <w:b/>
      <w:bCs/>
      <w:kern w:val="44"/>
      <w:sz w:val="32"/>
      <w:szCs w:val="44"/>
    </w:rPr>
  </w:style>
  <w:style w:type="character" w:customStyle="1" w:styleId="22">
    <w:name w:val="标题 2 Char"/>
    <w:link w:val="5"/>
    <w:qFormat/>
    <w:uiPriority w:val="0"/>
    <w:rPr>
      <w:rFonts w:ascii="Times New Roman" w:hAnsi="Times New Roman" w:eastAsiaTheme="majorEastAsia"/>
      <w:b/>
      <w:bCs/>
      <w:sz w:val="30"/>
      <w:szCs w:val="32"/>
    </w:rPr>
  </w:style>
  <w:style w:type="character" w:customStyle="1" w:styleId="23">
    <w:name w:val="fontstyle01"/>
    <w:qFormat/>
    <w:uiPriority w:val="0"/>
    <w:rPr>
      <w:rFonts w:ascii="宋体" w:hAnsi="宋体" w:eastAsia="宋体" w:cs="宋体"/>
      <w:color w:val="000000"/>
      <w:sz w:val="24"/>
      <w:szCs w:val="24"/>
    </w:rPr>
  </w:style>
  <w:style w:type="character" w:customStyle="1" w:styleId="24">
    <w:name w:val="fontstyle11"/>
    <w:qFormat/>
    <w:uiPriority w:val="0"/>
    <w:rPr>
      <w:rFonts w:ascii="宋体" w:hAnsi="宋体" w:eastAsia="宋体" w:cs="宋体"/>
      <w:color w:val="000000"/>
      <w:sz w:val="18"/>
      <w:szCs w:val="18"/>
    </w:rPr>
  </w:style>
  <w:style w:type="character" w:customStyle="1" w:styleId="25">
    <w:name w:val="font81"/>
    <w:basedOn w:val="18"/>
    <w:qFormat/>
    <w:uiPriority w:val="0"/>
    <w:rPr>
      <w:rFonts w:hint="default" w:ascii="Times New Roman" w:hAnsi="Times New Roman" w:cs="Times New Roman"/>
      <w:color w:val="FF0000"/>
      <w:sz w:val="22"/>
      <w:szCs w:val="22"/>
      <w:u w:val="none"/>
      <w:vertAlign w:val="superscript"/>
    </w:rPr>
  </w:style>
  <w:style w:type="paragraph" w:customStyle="1" w:styleId="26">
    <w:name w:val="无间隔1"/>
    <w:qFormat/>
    <w:uiPriority w:val="1"/>
    <w:pPr>
      <w:widowControl w:val="0"/>
      <w:adjustRightInd w:val="0"/>
      <w:spacing w:before="50" w:beforeLines="50"/>
      <w:jc w:val="center"/>
    </w:pPr>
    <w:rPr>
      <w:rFonts w:ascii="Times New Roman" w:hAnsi="Times New Roman" w:eastAsia="宋体" w:cs="Times New Roman"/>
      <w:b/>
      <w:kern w:val="2"/>
      <w:sz w:val="24"/>
      <w:szCs w:val="22"/>
      <w:lang w:val="en-US" w:eastAsia="zh-CN" w:bidi="ar-SA"/>
    </w:rPr>
  </w:style>
  <w:style w:type="paragraph" w:customStyle="1" w:styleId="27">
    <w:name w:val="Table Paragraph"/>
    <w:basedOn w:val="1"/>
    <w:qFormat/>
    <w:uiPriority w:val="1"/>
    <w:pPr>
      <w:jc w:val="center"/>
    </w:pPr>
    <w:rPr>
      <w:rFonts w:ascii="Arial" w:hAnsi="Arial" w:eastAsia="Arial" w:cs="Arial"/>
      <w:lang w:val="zh-CN" w:eastAsia="zh-CN" w:bidi="zh-CN"/>
    </w:rPr>
  </w:style>
  <w:style w:type="paragraph" w:customStyle="1" w:styleId="28">
    <w:name w:val="场评正文"/>
    <w:basedOn w:val="1"/>
    <w:qFormat/>
    <w:uiPriority w:val="0"/>
    <w:pPr>
      <w:spacing w:line="360" w:lineRule="auto"/>
      <w:ind w:firstLine="480" w:firstLineChars="200"/>
    </w:pPr>
    <w:rPr>
      <w:color w:val="000000"/>
      <w:kern w:val="0"/>
      <w:sz w:val="24"/>
    </w:rPr>
  </w:style>
  <w:style w:type="character" w:customStyle="1" w:styleId="29">
    <w:name w:val="font21"/>
    <w:basedOn w:val="18"/>
    <w:qFormat/>
    <w:uiPriority w:val="0"/>
    <w:rPr>
      <w:rFonts w:hint="eastAsia" w:ascii="宋体" w:hAnsi="宋体" w:eastAsia="宋体" w:cs="宋体"/>
      <w:b/>
      <w:color w:val="000000"/>
      <w:sz w:val="21"/>
      <w:szCs w:val="21"/>
      <w:u w:val="none"/>
    </w:rPr>
  </w:style>
  <w:style w:type="character" w:customStyle="1" w:styleId="30">
    <w:name w:val="font11"/>
    <w:basedOn w:val="18"/>
    <w:qFormat/>
    <w:uiPriority w:val="0"/>
    <w:rPr>
      <w:rFonts w:hint="eastAsia" w:ascii="宋体" w:hAnsi="宋体" w:eastAsia="宋体" w:cs="宋体"/>
      <w:color w:val="000000"/>
      <w:sz w:val="21"/>
      <w:szCs w:val="21"/>
      <w:u w:val="none"/>
    </w:rPr>
  </w:style>
  <w:style w:type="character" w:customStyle="1" w:styleId="31">
    <w:name w:val="font41"/>
    <w:basedOn w:val="18"/>
    <w:qFormat/>
    <w:uiPriority w:val="0"/>
    <w:rPr>
      <w:rFonts w:hint="default" w:ascii="Times New Roman" w:hAnsi="Times New Roman" w:cs="Times New Roman"/>
      <w:color w:val="000000"/>
      <w:sz w:val="21"/>
      <w:szCs w:val="21"/>
      <w:u w:val="none"/>
    </w:rPr>
  </w:style>
  <w:style w:type="character" w:customStyle="1" w:styleId="32">
    <w:name w:val="font31"/>
    <w:basedOn w:val="18"/>
    <w:qFormat/>
    <w:uiPriority w:val="0"/>
    <w:rPr>
      <w:rFonts w:hint="eastAsia" w:ascii="宋体" w:hAnsi="宋体" w:eastAsia="宋体" w:cs="宋体"/>
      <w:color w:val="000000"/>
      <w:sz w:val="21"/>
      <w:szCs w:val="21"/>
      <w:u w:val="none"/>
    </w:rPr>
  </w:style>
  <w:style w:type="character" w:customStyle="1" w:styleId="33">
    <w:name w:val="font01"/>
    <w:basedOn w:val="18"/>
    <w:qFormat/>
    <w:uiPriority w:val="0"/>
    <w:rPr>
      <w:rFonts w:hint="default" w:ascii="Times New Roman" w:hAnsi="Times New Roman" w:cs="Times New Roman"/>
      <w:color w:val="000000"/>
      <w:sz w:val="24"/>
      <w:szCs w:val="24"/>
      <w:u w:val="none"/>
      <w:vertAlign w:val="superscript"/>
    </w:rPr>
  </w:style>
  <w:style w:type="character" w:customStyle="1" w:styleId="34">
    <w:name w:val="font101"/>
    <w:basedOn w:val="18"/>
    <w:qFormat/>
    <w:uiPriority w:val="0"/>
    <w:rPr>
      <w:rFonts w:hint="eastAsia" w:ascii="宋体" w:hAnsi="宋体" w:eastAsia="宋体" w:cs="宋体"/>
      <w:b/>
      <w:color w:val="000000"/>
      <w:sz w:val="24"/>
      <w:szCs w:val="24"/>
      <w:u w:val="none"/>
    </w:rPr>
  </w:style>
  <w:style w:type="character" w:customStyle="1" w:styleId="35">
    <w:name w:val="font112"/>
    <w:basedOn w:val="18"/>
    <w:qFormat/>
    <w:uiPriority w:val="0"/>
    <w:rPr>
      <w:rFonts w:hint="default" w:ascii="Times New Roman" w:hAnsi="Times New Roman" w:cs="Times New Roman"/>
      <w:color w:val="000000"/>
      <w:sz w:val="24"/>
      <w:szCs w:val="24"/>
      <w:u w:val="none"/>
      <w:vertAlign w:val="subscript"/>
    </w:rPr>
  </w:style>
  <w:style w:type="character" w:customStyle="1" w:styleId="36">
    <w:name w:val="font61"/>
    <w:basedOn w:val="18"/>
    <w:qFormat/>
    <w:uiPriority w:val="0"/>
    <w:rPr>
      <w:rFonts w:hint="eastAsia" w:ascii="宋体" w:hAnsi="宋体" w:eastAsia="宋体" w:cs="宋体"/>
      <w:color w:val="000000"/>
      <w:sz w:val="24"/>
      <w:szCs w:val="24"/>
      <w:u w:val="none"/>
    </w:rPr>
  </w:style>
  <w:style w:type="character" w:customStyle="1" w:styleId="37">
    <w:name w:val="font51"/>
    <w:basedOn w:val="1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53.png"/><Relationship Id="rId72" Type="http://schemas.openxmlformats.org/officeDocument/2006/relationships/image" Target="media/image52.wmf"/><Relationship Id="rId71" Type="http://schemas.openxmlformats.org/officeDocument/2006/relationships/oleObject" Target="embeddings/oleObject14.bin"/><Relationship Id="rId70" Type="http://schemas.openxmlformats.org/officeDocument/2006/relationships/image" Target="media/image51.png"/><Relationship Id="rId7" Type="http://schemas.openxmlformats.org/officeDocument/2006/relationships/image" Target="media/image1.png"/><Relationship Id="rId69" Type="http://schemas.openxmlformats.org/officeDocument/2006/relationships/image" Target="media/image50.jpeg"/><Relationship Id="rId68" Type="http://schemas.openxmlformats.org/officeDocument/2006/relationships/image" Target="media/image49.jpeg"/><Relationship Id="rId67" Type="http://schemas.openxmlformats.org/officeDocument/2006/relationships/image" Target="media/image48.jpe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bmp"/><Relationship Id="rId61" Type="http://schemas.openxmlformats.org/officeDocument/2006/relationships/image" Target="media/image42.bmp"/><Relationship Id="rId60" Type="http://schemas.openxmlformats.org/officeDocument/2006/relationships/image" Target="media/image41.bmp"/><Relationship Id="rId6" Type="http://schemas.openxmlformats.org/officeDocument/2006/relationships/theme" Target="theme/theme1.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3.xml"/><Relationship Id="rId49" Type="http://schemas.openxmlformats.org/officeDocument/2006/relationships/image" Target="media/image30.png"/><Relationship Id="rId48" Type="http://schemas.openxmlformats.org/officeDocument/2006/relationships/oleObject" Target="embeddings/oleObject13.bin"/><Relationship Id="rId47" Type="http://schemas.openxmlformats.org/officeDocument/2006/relationships/image" Target="media/image29.wmf"/><Relationship Id="rId46" Type="http://schemas.openxmlformats.org/officeDocument/2006/relationships/oleObject" Target="embeddings/oleObject12.bin"/><Relationship Id="rId45" Type="http://schemas.openxmlformats.org/officeDocument/2006/relationships/image" Target="media/image28.wmf"/><Relationship Id="rId44" Type="http://schemas.openxmlformats.org/officeDocument/2006/relationships/oleObject" Target="embeddings/oleObject11.bin"/><Relationship Id="rId43" Type="http://schemas.openxmlformats.org/officeDocument/2006/relationships/oleObject" Target="embeddings/oleObject10.bin"/><Relationship Id="rId42" Type="http://schemas.openxmlformats.org/officeDocument/2006/relationships/image" Target="media/image27.wmf"/><Relationship Id="rId41" Type="http://schemas.openxmlformats.org/officeDocument/2006/relationships/oleObject" Target="embeddings/oleObject9.bin"/><Relationship Id="rId40" Type="http://schemas.openxmlformats.org/officeDocument/2006/relationships/image" Target="media/image26.wmf"/><Relationship Id="rId4" Type="http://schemas.openxmlformats.org/officeDocument/2006/relationships/footer" Target="footer2.xml"/><Relationship Id="rId39" Type="http://schemas.openxmlformats.org/officeDocument/2006/relationships/oleObject" Target="embeddings/oleObject8.bin"/><Relationship Id="rId38" Type="http://schemas.openxmlformats.org/officeDocument/2006/relationships/image" Target="media/image25.wmf"/><Relationship Id="rId37" Type="http://schemas.openxmlformats.org/officeDocument/2006/relationships/oleObject" Target="embeddings/oleObject7.bin"/><Relationship Id="rId36" Type="http://schemas.openxmlformats.org/officeDocument/2006/relationships/image" Target="media/image24.wmf"/><Relationship Id="rId35" Type="http://schemas.openxmlformats.org/officeDocument/2006/relationships/oleObject" Target="embeddings/oleObject6.bin"/><Relationship Id="rId34" Type="http://schemas.openxmlformats.org/officeDocument/2006/relationships/image" Target="media/image23.wmf"/><Relationship Id="rId33" Type="http://schemas.openxmlformats.org/officeDocument/2006/relationships/oleObject" Target="embeddings/oleObject5.bin"/><Relationship Id="rId32" Type="http://schemas.openxmlformats.org/officeDocument/2006/relationships/image" Target="media/image22.wmf"/><Relationship Id="rId31" Type="http://schemas.openxmlformats.org/officeDocument/2006/relationships/oleObject" Target="embeddings/oleObject4.bin"/><Relationship Id="rId30" Type="http://schemas.openxmlformats.org/officeDocument/2006/relationships/image" Target="media/image21.w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20.wmf"/><Relationship Id="rId27" Type="http://schemas.openxmlformats.org/officeDocument/2006/relationships/oleObject" Target="embeddings/oleObject2.bin"/><Relationship Id="rId26" Type="http://schemas.openxmlformats.org/officeDocument/2006/relationships/image" Target="media/image19.wmf"/><Relationship Id="rId25" Type="http://schemas.openxmlformats.org/officeDocument/2006/relationships/oleObject" Target="embeddings/oleObject1.bin"/><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张保花</cp:lastModifiedBy>
  <cp:lastPrinted>2019-11-23T08:36:00Z</cp:lastPrinted>
  <dcterms:modified xsi:type="dcterms:W3CDTF">2019-12-17T07:42:33Z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